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DC041" w14:textId="1EB07208" w:rsidR="00A24736" w:rsidRPr="007E3009" w:rsidRDefault="003039F7" w:rsidP="000E16E1">
      <w:pPr>
        <w:jc w:val="center"/>
        <w:rPr>
          <w:rFonts w:ascii="Arial" w:hAnsi="Arial" w:cs="Arial"/>
          <w:b/>
          <w:bCs/>
          <w:sz w:val="36"/>
          <w:szCs w:val="36"/>
        </w:rPr>
      </w:pPr>
      <w:r>
        <w:rPr>
          <w:rFonts w:cs="Calibri"/>
          <w:noProof/>
        </w:rPr>
        <w:drawing>
          <wp:anchor distT="0" distB="0" distL="114300" distR="114300" simplePos="0" relativeHeight="251657728" behindDoc="0" locked="0" layoutInCell="1" allowOverlap="1" wp14:anchorId="7FA9797C" wp14:editId="2ABFE492">
            <wp:simplePos x="0" y="0"/>
            <wp:positionH relativeFrom="column">
              <wp:posOffset>2406015</wp:posOffset>
            </wp:positionH>
            <wp:positionV relativeFrom="paragraph">
              <wp:posOffset>71120</wp:posOffset>
            </wp:positionV>
            <wp:extent cx="914400" cy="757555"/>
            <wp:effectExtent l="0" t="0" r="0" b="0"/>
            <wp:wrapSquare wrapText="bothSides"/>
            <wp:docPr id="2" name="Content Placeholder 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ent Placeholder 8" descr="Logo&#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l="11847" t="13214" r="11772" b="10313"/>
                    <a:stretch>
                      <a:fillRect/>
                    </a:stretch>
                  </pic:blipFill>
                  <pic:spPr bwMode="auto">
                    <a:xfrm>
                      <a:off x="0" y="0"/>
                      <a:ext cx="914400" cy="757555"/>
                    </a:xfrm>
                    <a:prstGeom prst="rect">
                      <a:avLst/>
                    </a:prstGeom>
                    <a:noFill/>
                    <a:ln>
                      <a:noFill/>
                    </a:ln>
                  </pic:spPr>
                </pic:pic>
              </a:graphicData>
            </a:graphic>
            <wp14:sizeRelH relativeFrom="page">
              <wp14:pctWidth>0</wp14:pctWidth>
            </wp14:sizeRelH>
            <wp14:sizeRelV relativeFrom="page">
              <wp14:pctHeight>0</wp14:pctHeight>
            </wp14:sizeRelV>
          </wp:anchor>
        </w:drawing>
      </w:r>
      <w:r w:rsidR="000028C9">
        <w:rPr>
          <w:rFonts w:ascii="Arial" w:hAnsi="Arial" w:cs="Arial"/>
          <w:b/>
          <w:bCs/>
          <w:sz w:val="36"/>
          <w:szCs w:val="36"/>
        </w:rPr>
        <w:tab/>
      </w:r>
    </w:p>
    <w:p w14:paraId="60E52B78" w14:textId="77777777" w:rsidR="008218E0" w:rsidRDefault="008218E0" w:rsidP="008218E0">
      <w:pPr>
        <w:spacing w:after="0" w:line="240" w:lineRule="auto"/>
        <w:ind w:left="720"/>
        <w:jc w:val="center"/>
        <w:rPr>
          <w:rFonts w:ascii="Arial" w:hAnsi="Arial" w:cs="Arial"/>
          <w:b/>
          <w:bCs/>
          <w:sz w:val="28"/>
          <w:szCs w:val="28"/>
        </w:rPr>
      </w:pPr>
    </w:p>
    <w:p w14:paraId="52C17ABA" w14:textId="77777777" w:rsidR="008218E0" w:rsidRDefault="008218E0" w:rsidP="008218E0">
      <w:pPr>
        <w:spacing w:after="0" w:line="240" w:lineRule="auto"/>
        <w:rPr>
          <w:rFonts w:ascii="Arial" w:hAnsi="Arial" w:cs="Arial"/>
          <w:b/>
          <w:bCs/>
          <w:sz w:val="28"/>
          <w:szCs w:val="28"/>
        </w:rPr>
      </w:pPr>
    </w:p>
    <w:p w14:paraId="757E88B6" w14:textId="77777777" w:rsidR="001C6B53" w:rsidRDefault="001C6B53" w:rsidP="001C6B53">
      <w:pPr>
        <w:pStyle w:val="xxmsonormal"/>
        <w:shd w:val="clear" w:color="auto" w:fill="FFFFFF"/>
        <w:spacing w:before="0" w:beforeAutospacing="0" w:after="0" w:afterAutospacing="0"/>
        <w:jc w:val="center"/>
        <w:textAlignment w:val="baseline"/>
        <w:rPr>
          <w:rFonts w:ascii="Calibri" w:hAnsi="Calibri" w:cs="Calibri"/>
          <w:b/>
          <w:bCs/>
          <w:color w:val="000000"/>
          <w:bdr w:val="none" w:sz="0" w:space="0" w:color="auto" w:frame="1"/>
        </w:rPr>
      </w:pPr>
    </w:p>
    <w:p w14:paraId="381DE9DC" w14:textId="204E4374" w:rsidR="001C6B53" w:rsidRDefault="001C6B53" w:rsidP="001C6B53">
      <w:pPr>
        <w:pStyle w:val="xxmsonormal"/>
        <w:shd w:val="clear" w:color="auto" w:fill="FFFFFF"/>
        <w:spacing w:before="0" w:beforeAutospacing="0" w:after="0" w:afterAutospacing="0"/>
        <w:jc w:val="center"/>
        <w:textAlignment w:val="baseline"/>
        <w:rPr>
          <w:rFonts w:ascii="Calibri" w:hAnsi="Calibri" w:cs="Calibri"/>
          <w:b/>
          <w:bCs/>
          <w:color w:val="000000"/>
          <w:bdr w:val="none" w:sz="0" w:space="0" w:color="auto" w:frame="1"/>
        </w:rPr>
      </w:pPr>
      <w:r>
        <w:rPr>
          <w:rFonts w:ascii="Calibri" w:hAnsi="Calibri" w:cs="Calibri"/>
          <w:b/>
          <w:bCs/>
          <w:color w:val="000000"/>
          <w:bdr w:val="none" w:sz="0" w:space="0" w:color="auto" w:frame="1"/>
        </w:rPr>
        <w:t>Prevalence of GP recorded genetically confirmed familial hypercholesterolaemia (FH) published at ICB level – data guidance</w:t>
      </w:r>
    </w:p>
    <w:p w14:paraId="6EA15E7B" w14:textId="77777777" w:rsidR="001C6B53" w:rsidRDefault="001C6B53" w:rsidP="001C6B53">
      <w:pPr>
        <w:pStyle w:val="xxmsonormal"/>
        <w:shd w:val="clear" w:color="auto" w:fill="FFFFFF"/>
        <w:spacing w:before="0" w:beforeAutospacing="0" w:after="0" w:afterAutospacing="0"/>
        <w:textAlignment w:val="baseline"/>
        <w:rPr>
          <w:rFonts w:ascii="Calibri" w:hAnsi="Calibri" w:cs="Calibri"/>
          <w:color w:val="000000"/>
          <w:bdr w:val="none" w:sz="0" w:space="0" w:color="auto" w:frame="1"/>
        </w:rPr>
      </w:pPr>
    </w:p>
    <w:p w14:paraId="3FB2926A"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sidRPr="005A6018">
        <w:rPr>
          <w:rFonts w:ascii="Calibri" w:hAnsi="Calibri" w:cs="Calibri"/>
          <w:color w:val="000000"/>
          <w:sz w:val="22"/>
          <w:szCs w:val="22"/>
          <w:bdr w:val="none" w:sz="0" w:space="0" w:color="auto" w:frame="1"/>
        </w:rPr>
        <w:t xml:space="preserve">Familial </w:t>
      </w:r>
      <w:r>
        <w:rPr>
          <w:rFonts w:ascii="Calibri" w:hAnsi="Calibri" w:cs="Calibri"/>
          <w:color w:val="000000"/>
          <w:sz w:val="22"/>
          <w:szCs w:val="22"/>
          <w:bdr w:val="none" w:sz="0" w:space="0" w:color="auto" w:frame="1"/>
        </w:rPr>
        <w:t>h</w:t>
      </w:r>
      <w:r w:rsidRPr="005A6018">
        <w:rPr>
          <w:rFonts w:ascii="Calibri" w:hAnsi="Calibri" w:cs="Calibri"/>
          <w:color w:val="000000"/>
          <w:sz w:val="22"/>
          <w:szCs w:val="22"/>
          <w:bdr w:val="none" w:sz="0" w:space="0" w:color="auto" w:frame="1"/>
        </w:rPr>
        <w:t>ypercholesterolaemia (FH) is an inherited condition which can lead to high cholesterol levels and can increase the risk of developing premature CVD. Patients with FH have abnormally high cholesterol from birth. FH can be asymptomatic but early identification and management can reduce the risk of developing CVD.</w:t>
      </w:r>
    </w:p>
    <w:p w14:paraId="40A7BE8E" w14:textId="77777777" w:rsidR="001C6B53" w:rsidRPr="005A6018" w:rsidRDefault="001C6B53" w:rsidP="001C6B53">
      <w:pPr>
        <w:pStyle w:val="xxmsonormal"/>
        <w:shd w:val="clear" w:color="auto" w:fill="FFFFFF"/>
        <w:spacing w:before="0" w:beforeAutospacing="0" w:after="0" w:afterAutospacing="0"/>
        <w:textAlignment w:val="baseline"/>
        <w:rPr>
          <w:rFonts w:ascii="Aptos" w:hAnsi="Aptos" w:cs="Segoe UI"/>
          <w:color w:val="242424"/>
          <w:sz w:val="22"/>
          <w:szCs w:val="22"/>
        </w:rPr>
      </w:pPr>
    </w:p>
    <w:p w14:paraId="7E462373" w14:textId="77777777" w:rsidR="001C6B53" w:rsidRPr="005A6018" w:rsidRDefault="001C6B53" w:rsidP="001C6B53">
      <w:pPr>
        <w:pStyle w:val="xxmsonormal"/>
        <w:shd w:val="clear" w:color="auto" w:fill="FFFFFF"/>
        <w:spacing w:before="0" w:beforeAutospacing="0" w:after="0" w:afterAutospacing="0"/>
        <w:textAlignment w:val="baseline"/>
        <w:rPr>
          <w:rFonts w:ascii="Aptos" w:hAnsi="Aptos" w:cs="Segoe UI"/>
          <w:sz w:val="22"/>
          <w:szCs w:val="22"/>
        </w:rPr>
      </w:pPr>
      <w:r w:rsidRPr="005A6018">
        <w:rPr>
          <w:rFonts w:ascii="Calibri" w:hAnsi="Calibri" w:cs="Calibri"/>
          <w:sz w:val="22"/>
          <w:szCs w:val="22"/>
          <w:bdr w:val="none" w:sz="0" w:space="0" w:color="auto" w:frame="1"/>
        </w:rPr>
        <w:t>This indicator measures the prevalence of recorded genetically confirmed FH in the CVDPREVENT audit population. Diagnosing FH, confirming this with genetic testing and recording it on GP registers should mean that a patient is more likely to have been referred to a specialist lipid clinic for patient counselling and family cascade testing. It also increases the probability of ongoing lifestyle advice, monitoring, and treatment, in accordance with NICE guidance.</w:t>
      </w:r>
    </w:p>
    <w:p w14:paraId="63CAF91F" w14:textId="68284B1C"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sidRPr="005A6018">
        <w:rPr>
          <w:rFonts w:ascii="Calibri" w:hAnsi="Calibri" w:cs="Calibri"/>
          <w:sz w:val="22"/>
          <w:szCs w:val="22"/>
          <w:bdr w:val="none" w:sz="0" w:space="0" w:color="auto" w:frame="1"/>
        </w:rPr>
        <w:br/>
        <w:t>This indicator is intended to inform changes in clinical practice by highlighting areas where recorded prevalence varies. Variation in recorded genetically confirmed FH prevalence may indicate differences in case ascertainment</w:t>
      </w:r>
      <w:r w:rsidR="003B5002">
        <w:rPr>
          <w:rFonts w:ascii="Calibri" w:hAnsi="Calibri" w:cs="Calibri"/>
          <w:sz w:val="22"/>
          <w:szCs w:val="22"/>
          <w:bdr w:val="none" w:sz="0" w:space="0" w:color="auto" w:frame="1"/>
        </w:rPr>
        <w:t xml:space="preserve"> or </w:t>
      </w:r>
      <w:r w:rsidRPr="005A6018">
        <w:rPr>
          <w:rFonts w:ascii="Calibri" w:hAnsi="Calibri" w:cs="Calibri"/>
          <w:sz w:val="22"/>
          <w:szCs w:val="22"/>
          <w:bdr w:val="none" w:sz="0" w:space="0" w:color="auto" w:frame="1"/>
        </w:rPr>
        <w:t xml:space="preserve">the use of and referral to genetic services </w:t>
      </w:r>
      <w:r w:rsidRPr="005A6018">
        <w:rPr>
          <w:rFonts w:ascii="Calibri" w:hAnsi="Calibri" w:cs="Calibri"/>
          <w:color w:val="000000"/>
          <w:sz w:val="22"/>
          <w:szCs w:val="22"/>
          <w:bdr w:val="none" w:sz="0" w:space="0" w:color="auto" w:frame="1"/>
        </w:rPr>
        <w:t>by local primary care health professionals.</w:t>
      </w:r>
    </w:p>
    <w:p w14:paraId="7CC40E52"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p>
    <w:p w14:paraId="08666DDB" w14:textId="77777777" w:rsidR="001C6B53" w:rsidRPr="005A6018" w:rsidRDefault="001C6B53" w:rsidP="001C6B53">
      <w:pPr>
        <w:pStyle w:val="xxmsonormal"/>
        <w:shd w:val="clear" w:color="auto" w:fill="FFFFFF"/>
        <w:spacing w:before="0" w:beforeAutospacing="0" w:after="0" w:afterAutospacing="0"/>
        <w:textAlignment w:val="baseline"/>
        <w:rPr>
          <w:rFonts w:ascii="Aptos" w:hAnsi="Aptos" w:cs="Segoe UI"/>
          <w:color w:val="242424"/>
          <w:sz w:val="22"/>
          <w:szCs w:val="22"/>
        </w:rPr>
      </w:pPr>
      <w:r w:rsidRPr="005A6018">
        <w:rPr>
          <w:rFonts w:ascii="Calibri" w:hAnsi="Calibri" w:cs="Calibri"/>
          <w:color w:val="000000"/>
          <w:sz w:val="22"/>
          <w:szCs w:val="22"/>
          <w:bdr w:val="none" w:sz="0" w:space="0" w:color="auto" w:frame="1"/>
        </w:rPr>
        <w:t>The CVDPREVENT audit now publishes this indicator to ICB level.</w:t>
      </w:r>
    </w:p>
    <w:p w14:paraId="5C912D05"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p>
    <w:p w14:paraId="4878F713"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b/>
          <w:bCs/>
          <w:color w:val="000000"/>
          <w:sz w:val="22"/>
          <w:szCs w:val="22"/>
          <w:bdr w:val="none" w:sz="0" w:space="0" w:color="auto" w:frame="1"/>
        </w:rPr>
      </w:pPr>
      <w:r w:rsidRPr="005A6018">
        <w:rPr>
          <w:rFonts w:ascii="Calibri" w:hAnsi="Calibri" w:cs="Calibri"/>
          <w:b/>
          <w:bCs/>
          <w:color w:val="000000"/>
          <w:sz w:val="22"/>
          <w:szCs w:val="22"/>
          <w:bdr w:val="none" w:sz="0" w:space="0" w:color="auto" w:frame="1"/>
        </w:rPr>
        <w:t>Why is it important to record this indicator at ICB level?</w:t>
      </w:r>
    </w:p>
    <w:p w14:paraId="63AB8112"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p>
    <w:p w14:paraId="45838254"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sidRPr="005A6018">
        <w:rPr>
          <w:rFonts w:ascii="Calibri" w:hAnsi="Calibri" w:cs="Calibri"/>
          <w:color w:val="000000"/>
          <w:sz w:val="22"/>
          <w:szCs w:val="22"/>
          <w:bdr w:val="none" w:sz="0" w:space="0" w:color="auto" w:frame="1"/>
        </w:rPr>
        <w:t xml:space="preserve">The </w:t>
      </w:r>
      <w:hyperlink r:id="rId12" w:history="1">
        <w:r w:rsidRPr="00984FD4">
          <w:rPr>
            <w:rStyle w:val="Hyperlink"/>
            <w:rFonts w:ascii="Calibri" w:hAnsi="Calibri" w:cs="Calibri"/>
            <w:sz w:val="22"/>
            <w:szCs w:val="22"/>
            <w:bdr w:val="none" w:sz="0" w:space="0" w:color="auto" w:frame="1"/>
          </w:rPr>
          <w:t>NHS Long Term Plan</w:t>
        </w:r>
      </w:hyperlink>
      <w:r w:rsidRPr="005A6018">
        <w:rPr>
          <w:rFonts w:ascii="Calibri" w:hAnsi="Calibri" w:cs="Calibri"/>
          <w:color w:val="000000"/>
          <w:sz w:val="22"/>
          <w:szCs w:val="22"/>
          <w:bdr w:val="none" w:sz="0" w:space="0" w:color="auto" w:frame="1"/>
        </w:rPr>
        <w:t xml:space="preserve">, published in 2019, set out an ambition to prevent 150,000 heart attacks, strokes and cases of dementia within 10 years. As part of this ambition, it also stated the need to improve the diagnosis rate for genetically confirmed FH. At the time of publication, the </w:t>
      </w:r>
      <w:proofErr w:type="gramStart"/>
      <w:r w:rsidRPr="005A6018">
        <w:rPr>
          <w:rFonts w:ascii="Calibri" w:hAnsi="Calibri" w:cs="Calibri"/>
          <w:color w:val="000000"/>
          <w:sz w:val="22"/>
          <w:szCs w:val="22"/>
          <w:bdr w:val="none" w:sz="0" w:space="0" w:color="auto" w:frame="1"/>
        </w:rPr>
        <w:t>Long Term</w:t>
      </w:r>
      <w:proofErr w:type="gramEnd"/>
      <w:r w:rsidRPr="005A6018">
        <w:rPr>
          <w:rFonts w:ascii="Calibri" w:hAnsi="Calibri" w:cs="Calibri"/>
          <w:color w:val="000000"/>
          <w:sz w:val="22"/>
          <w:szCs w:val="22"/>
          <w:bdr w:val="none" w:sz="0" w:space="0" w:color="auto" w:frame="1"/>
        </w:rPr>
        <w:t xml:space="preserve"> Plan estimated that </w:t>
      </w:r>
      <w:r>
        <w:rPr>
          <w:rFonts w:ascii="Calibri" w:hAnsi="Calibri" w:cs="Calibri"/>
          <w:color w:val="000000"/>
          <w:sz w:val="22"/>
          <w:szCs w:val="22"/>
          <w:bdr w:val="none" w:sz="0" w:space="0" w:color="auto" w:frame="1"/>
        </w:rPr>
        <w:t>at least 150,000</w:t>
      </w:r>
      <w:r w:rsidRPr="005A6018">
        <w:rPr>
          <w:rFonts w:ascii="Calibri" w:hAnsi="Calibri" w:cs="Calibri"/>
          <w:color w:val="000000"/>
          <w:sz w:val="22"/>
          <w:szCs w:val="22"/>
          <w:bdr w:val="none" w:sz="0" w:space="0" w:color="auto" w:frame="1"/>
        </w:rPr>
        <w:t xml:space="preserve"> people in England had FH, but only 7% of this group had a genetically confirmed diagnosis. It stated the aim to increase the proportion with a genetically confirmed diagnosis to 25% within the next 5 years.</w:t>
      </w:r>
    </w:p>
    <w:p w14:paraId="612BB4D8"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p>
    <w:p w14:paraId="64C5A49F"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sidRPr="005A6018">
        <w:rPr>
          <w:rFonts w:ascii="Calibri" w:hAnsi="Calibri" w:cs="Calibri"/>
          <w:color w:val="000000"/>
          <w:sz w:val="22"/>
          <w:szCs w:val="22"/>
          <w:bdr w:val="none" w:sz="0" w:space="0" w:color="auto" w:frame="1"/>
        </w:rPr>
        <w:t>Currently, the genomic hubs which perform the genetic tests to confirm FH are not set up to report on the number of positive results they find. As a result, the best indication of the number of patients that have a genetically confirmed diagnosis is obtained from what is recorded on the primary care database. This CVDPREVENT indicator measures and reports exactly that and indicates progress towards the 25% Long Term Plan goal.</w:t>
      </w:r>
    </w:p>
    <w:p w14:paraId="0D496605"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p>
    <w:p w14:paraId="53DB83C4" w14:textId="05F5C0BB"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sidRPr="005A6018">
        <w:rPr>
          <w:rFonts w:ascii="Calibri" w:hAnsi="Calibri" w:cs="Calibri"/>
          <w:color w:val="000000"/>
          <w:sz w:val="22"/>
          <w:szCs w:val="22"/>
          <w:bdr w:val="none" w:sz="0" w:space="0" w:color="auto" w:frame="1"/>
        </w:rPr>
        <w:t xml:space="preserve">By reporting this data at ICB level, individual ICBs can look at their data and sense check it against information from their Genomic Hub and lipid clinics to set in place plans to improve </w:t>
      </w:r>
      <w:r w:rsidR="00DA1F6C">
        <w:rPr>
          <w:rFonts w:ascii="Calibri" w:hAnsi="Calibri" w:cs="Calibri"/>
          <w:color w:val="000000"/>
          <w:sz w:val="22"/>
          <w:szCs w:val="22"/>
          <w:bdr w:val="none" w:sz="0" w:space="0" w:color="auto" w:frame="1"/>
        </w:rPr>
        <w:t>identification</w:t>
      </w:r>
      <w:r w:rsidR="00EB7F95">
        <w:rPr>
          <w:rFonts w:ascii="Calibri" w:hAnsi="Calibri" w:cs="Calibri"/>
          <w:color w:val="000000"/>
          <w:sz w:val="22"/>
          <w:szCs w:val="22"/>
          <w:bdr w:val="none" w:sz="0" w:space="0" w:color="auto" w:frame="1"/>
        </w:rPr>
        <w:t xml:space="preserve"> of FH in primary care</w:t>
      </w:r>
      <w:r w:rsidRPr="005A6018">
        <w:rPr>
          <w:rFonts w:ascii="Calibri" w:hAnsi="Calibri" w:cs="Calibri"/>
          <w:color w:val="000000"/>
          <w:sz w:val="22"/>
          <w:szCs w:val="22"/>
          <w:bdr w:val="none" w:sz="0" w:space="0" w:color="auto" w:frame="1"/>
        </w:rPr>
        <w:t>. This may include data recording or cleansing at a primary care level.</w:t>
      </w:r>
    </w:p>
    <w:p w14:paraId="275AC7A7"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p>
    <w:p w14:paraId="60AA1627" w14:textId="22EEE202"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b/>
          <w:bCs/>
          <w:color w:val="000000"/>
          <w:sz w:val="22"/>
          <w:szCs w:val="22"/>
          <w:bdr w:val="none" w:sz="0" w:space="0" w:color="auto" w:frame="1"/>
        </w:rPr>
      </w:pPr>
      <w:r w:rsidRPr="005A6018">
        <w:rPr>
          <w:rFonts w:ascii="Calibri" w:hAnsi="Calibri" w:cs="Calibri"/>
          <w:b/>
          <w:bCs/>
          <w:color w:val="000000"/>
          <w:sz w:val="22"/>
          <w:szCs w:val="22"/>
          <w:bdr w:val="none" w:sz="0" w:space="0" w:color="auto" w:frame="1"/>
        </w:rPr>
        <w:t xml:space="preserve">Caveats </w:t>
      </w:r>
    </w:p>
    <w:p w14:paraId="7820B0C1"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b/>
          <w:bCs/>
          <w:color w:val="000000"/>
          <w:sz w:val="22"/>
          <w:szCs w:val="22"/>
          <w:bdr w:val="none" w:sz="0" w:space="0" w:color="auto" w:frame="1"/>
        </w:rPr>
      </w:pPr>
    </w:p>
    <w:p w14:paraId="1929CD1C" w14:textId="4344A6FE"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sidRPr="005A6018">
        <w:rPr>
          <w:rFonts w:ascii="Calibri" w:hAnsi="Calibri" w:cs="Calibri"/>
          <w:color w:val="000000"/>
          <w:sz w:val="22"/>
          <w:szCs w:val="22"/>
          <w:bdr w:val="none" w:sz="0" w:space="0" w:color="auto" w:frame="1"/>
        </w:rPr>
        <w:t xml:space="preserve">The recording of genetically confirmed FH in the primary care record is subject to more variability than other indicators. There are three factors </w:t>
      </w:r>
      <w:r w:rsidR="00EB7F95">
        <w:rPr>
          <w:rFonts w:ascii="Calibri" w:hAnsi="Calibri" w:cs="Calibri"/>
          <w:color w:val="000000"/>
          <w:sz w:val="22"/>
          <w:szCs w:val="22"/>
          <w:bdr w:val="none" w:sz="0" w:space="0" w:color="auto" w:frame="1"/>
        </w:rPr>
        <w:t>that may contribute to this variation</w:t>
      </w:r>
      <w:r w:rsidRPr="005A6018">
        <w:rPr>
          <w:rFonts w:ascii="Calibri" w:hAnsi="Calibri" w:cs="Calibri"/>
          <w:color w:val="000000"/>
          <w:sz w:val="22"/>
          <w:szCs w:val="22"/>
          <w:bdr w:val="none" w:sz="0" w:space="0" w:color="auto" w:frame="1"/>
        </w:rPr>
        <w:t>:</w:t>
      </w:r>
    </w:p>
    <w:p w14:paraId="73AE5B59"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p>
    <w:p w14:paraId="02F35DAC" w14:textId="45BF3071" w:rsidR="001C6B53" w:rsidRPr="005A6018" w:rsidRDefault="008C548F" w:rsidP="001C6B53">
      <w:pPr>
        <w:pStyle w:val="xxmsonormal"/>
        <w:numPr>
          <w:ilvl w:val="0"/>
          <w:numId w:val="20"/>
        </w:numPr>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Pr>
          <w:rFonts w:ascii="Calibri" w:hAnsi="Calibri" w:cs="Calibri"/>
          <w:color w:val="000000"/>
          <w:sz w:val="22"/>
          <w:szCs w:val="22"/>
          <w:bdr w:val="none" w:sz="0" w:space="0" w:color="auto" w:frame="1"/>
        </w:rPr>
        <w:lastRenderedPageBreak/>
        <w:t>Inconsistencies in how the d</w:t>
      </w:r>
      <w:r w:rsidR="001C6B53" w:rsidRPr="005A6018">
        <w:rPr>
          <w:rFonts w:ascii="Calibri" w:hAnsi="Calibri" w:cs="Calibri"/>
          <w:color w:val="000000"/>
          <w:sz w:val="22"/>
          <w:szCs w:val="22"/>
          <w:bdr w:val="none" w:sz="0" w:space="0" w:color="auto" w:frame="1"/>
        </w:rPr>
        <w:t xml:space="preserve">ata </w:t>
      </w:r>
      <w:r>
        <w:rPr>
          <w:rFonts w:ascii="Calibri" w:hAnsi="Calibri" w:cs="Calibri"/>
          <w:color w:val="000000"/>
          <w:sz w:val="22"/>
          <w:szCs w:val="22"/>
          <w:bdr w:val="none" w:sz="0" w:space="0" w:color="auto" w:frame="1"/>
        </w:rPr>
        <w:t>is entered into primary care clinical systems</w:t>
      </w:r>
    </w:p>
    <w:p w14:paraId="4D5D382C" w14:textId="239244E0" w:rsidR="001C6B53" w:rsidRPr="005A6018" w:rsidRDefault="000E2006" w:rsidP="001C6B53">
      <w:pPr>
        <w:pStyle w:val="xxmsonormal"/>
        <w:numPr>
          <w:ilvl w:val="1"/>
          <w:numId w:val="21"/>
        </w:numPr>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Pr>
          <w:rFonts w:ascii="Calibri" w:hAnsi="Calibri" w:cs="Calibri"/>
          <w:color w:val="000000"/>
          <w:sz w:val="22"/>
          <w:szCs w:val="22"/>
          <w:bdr w:val="none" w:sz="0" w:space="0" w:color="auto" w:frame="1"/>
        </w:rPr>
        <w:t>In general</w:t>
      </w:r>
      <w:r w:rsidR="008110B9">
        <w:rPr>
          <w:rFonts w:ascii="Calibri" w:hAnsi="Calibri" w:cs="Calibri"/>
          <w:color w:val="000000"/>
          <w:sz w:val="22"/>
          <w:szCs w:val="22"/>
          <w:bdr w:val="none" w:sz="0" w:space="0" w:color="auto" w:frame="1"/>
        </w:rPr>
        <w:t>,</w:t>
      </w:r>
      <w:r w:rsidR="008C548F">
        <w:rPr>
          <w:rFonts w:ascii="Calibri" w:hAnsi="Calibri" w:cs="Calibri"/>
          <w:color w:val="000000"/>
          <w:sz w:val="22"/>
          <w:szCs w:val="22"/>
          <w:bdr w:val="none" w:sz="0" w:space="0" w:color="auto" w:frame="1"/>
        </w:rPr>
        <w:t xml:space="preserve"> </w:t>
      </w:r>
      <w:r w:rsidR="0086191C">
        <w:rPr>
          <w:rFonts w:ascii="Calibri" w:hAnsi="Calibri" w:cs="Calibri"/>
          <w:color w:val="000000"/>
          <w:sz w:val="22"/>
          <w:szCs w:val="22"/>
          <w:bdr w:val="none" w:sz="0" w:space="0" w:color="auto" w:frame="1"/>
        </w:rPr>
        <w:t xml:space="preserve">most </w:t>
      </w:r>
      <w:r w:rsidR="000C46CB">
        <w:rPr>
          <w:rFonts w:ascii="Calibri" w:hAnsi="Calibri" w:cs="Calibri"/>
          <w:color w:val="000000"/>
          <w:sz w:val="22"/>
          <w:szCs w:val="22"/>
          <w:bdr w:val="none" w:sz="0" w:space="0" w:color="auto" w:frame="1"/>
        </w:rPr>
        <w:t>l</w:t>
      </w:r>
      <w:r w:rsidR="00B81CC1">
        <w:rPr>
          <w:rFonts w:ascii="Calibri" w:hAnsi="Calibri" w:cs="Calibri"/>
          <w:color w:val="000000"/>
          <w:sz w:val="22"/>
          <w:szCs w:val="22"/>
          <w:bdr w:val="none" w:sz="0" w:space="0" w:color="auto" w:frame="1"/>
        </w:rPr>
        <w:t>abora</w:t>
      </w:r>
      <w:r w:rsidR="00CA39D3">
        <w:rPr>
          <w:rFonts w:ascii="Calibri" w:hAnsi="Calibri" w:cs="Calibri"/>
          <w:color w:val="000000"/>
          <w:sz w:val="22"/>
          <w:szCs w:val="22"/>
          <w:bdr w:val="none" w:sz="0" w:space="0" w:color="auto" w:frame="1"/>
        </w:rPr>
        <w:t>tory test results</w:t>
      </w:r>
      <w:r w:rsidR="001C6B53" w:rsidRPr="005A6018">
        <w:rPr>
          <w:rFonts w:ascii="Calibri" w:hAnsi="Calibri" w:cs="Calibri"/>
          <w:color w:val="000000"/>
          <w:sz w:val="22"/>
          <w:szCs w:val="22"/>
          <w:bdr w:val="none" w:sz="0" w:space="0" w:color="auto" w:frame="1"/>
        </w:rPr>
        <w:t xml:space="preserve"> </w:t>
      </w:r>
      <w:r w:rsidR="0086191C">
        <w:rPr>
          <w:rFonts w:ascii="Calibri" w:hAnsi="Calibri" w:cs="Calibri"/>
          <w:color w:val="000000"/>
          <w:sz w:val="22"/>
          <w:szCs w:val="22"/>
          <w:bdr w:val="none" w:sz="0" w:space="0" w:color="auto" w:frame="1"/>
        </w:rPr>
        <w:t>are</w:t>
      </w:r>
      <w:r w:rsidR="001C6B53" w:rsidRPr="005A6018">
        <w:rPr>
          <w:rFonts w:ascii="Calibri" w:hAnsi="Calibri" w:cs="Calibri"/>
          <w:color w:val="000000"/>
          <w:sz w:val="22"/>
          <w:szCs w:val="22"/>
          <w:bdr w:val="none" w:sz="0" w:space="0" w:color="auto" w:frame="1"/>
        </w:rPr>
        <w:t xml:space="preserve"> added directly to a patient’s notes</w:t>
      </w:r>
      <w:r w:rsidR="004C7977">
        <w:rPr>
          <w:rFonts w:ascii="Calibri" w:hAnsi="Calibri" w:cs="Calibri"/>
          <w:color w:val="000000"/>
          <w:sz w:val="22"/>
          <w:szCs w:val="22"/>
          <w:bdr w:val="none" w:sz="0" w:space="0" w:color="auto" w:frame="1"/>
        </w:rPr>
        <w:t xml:space="preserve"> </w:t>
      </w:r>
      <w:r w:rsidR="00797F7C">
        <w:rPr>
          <w:rFonts w:ascii="Calibri" w:hAnsi="Calibri" w:cs="Calibri"/>
          <w:color w:val="000000"/>
          <w:sz w:val="22"/>
          <w:szCs w:val="22"/>
          <w:bdr w:val="none" w:sz="0" w:space="0" w:color="auto" w:frame="1"/>
        </w:rPr>
        <w:t xml:space="preserve">which </w:t>
      </w:r>
      <w:r w:rsidR="001C6B53" w:rsidRPr="005A6018">
        <w:rPr>
          <w:rFonts w:ascii="Calibri" w:hAnsi="Calibri" w:cs="Calibri"/>
          <w:color w:val="000000"/>
          <w:sz w:val="22"/>
          <w:szCs w:val="22"/>
          <w:bdr w:val="none" w:sz="0" w:space="0" w:color="auto" w:frame="1"/>
        </w:rPr>
        <w:t>require</w:t>
      </w:r>
      <w:r w:rsidR="000C46CB">
        <w:rPr>
          <w:rFonts w:ascii="Calibri" w:hAnsi="Calibri" w:cs="Calibri"/>
          <w:color w:val="000000"/>
          <w:sz w:val="22"/>
          <w:szCs w:val="22"/>
          <w:bdr w:val="none" w:sz="0" w:space="0" w:color="auto" w:frame="1"/>
        </w:rPr>
        <w:t>s</w:t>
      </w:r>
      <w:r w:rsidR="001C6B53" w:rsidRPr="005A6018">
        <w:rPr>
          <w:rFonts w:ascii="Calibri" w:hAnsi="Calibri" w:cs="Calibri"/>
          <w:color w:val="000000"/>
          <w:sz w:val="22"/>
          <w:szCs w:val="22"/>
          <w:bdr w:val="none" w:sz="0" w:space="0" w:color="auto" w:frame="1"/>
        </w:rPr>
        <w:t xml:space="preserve"> no additional action at the primary care level</w:t>
      </w:r>
      <w:r w:rsidR="00797F7C">
        <w:rPr>
          <w:rFonts w:ascii="Calibri" w:hAnsi="Calibri" w:cs="Calibri"/>
          <w:color w:val="000000"/>
          <w:sz w:val="22"/>
          <w:szCs w:val="22"/>
          <w:bdr w:val="none" w:sz="0" w:space="0" w:color="auto" w:frame="1"/>
        </w:rPr>
        <w:t>.</w:t>
      </w:r>
    </w:p>
    <w:p w14:paraId="0C40BBAB" w14:textId="7DFAAF71" w:rsidR="001C6B53" w:rsidRPr="005A6018" w:rsidRDefault="00FA0C29" w:rsidP="001C6B53">
      <w:pPr>
        <w:pStyle w:val="xxmsonormal"/>
        <w:numPr>
          <w:ilvl w:val="1"/>
          <w:numId w:val="21"/>
        </w:numPr>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Pr>
          <w:rFonts w:ascii="Calibri" w:hAnsi="Calibri" w:cs="Calibri"/>
          <w:color w:val="000000"/>
          <w:sz w:val="22"/>
          <w:szCs w:val="22"/>
          <w:bdr w:val="none" w:sz="0" w:space="0" w:color="auto" w:frame="1"/>
        </w:rPr>
        <w:t>However, g</w:t>
      </w:r>
      <w:r w:rsidR="001C6B53" w:rsidRPr="005A6018">
        <w:rPr>
          <w:rFonts w:ascii="Calibri" w:hAnsi="Calibri" w:cs="Calibri"/>
          <w:color w:val="000000"/>
          <w:sz w:val="22"/>
          <w:szCs w:val="22"/>
          <w:bdr w:val="none" w:sz="0" w:space="0" w:color="auto" w:frame="1"/>
        </w:rPr>
        <w:t>enetically confirmed FH results</w:t>
      </w:r>
      <w:r w:rsidR="00CA39D3">
        <w:rPr>
          <w:rFonts w:ascii="Calibri" w:hAnsi="Calibri" w:cs="Calibri"/>
          <w:color w:val="000000"/>
          <w:sz w:val="22"/>
          <w:szCs w:val="22"/>
          <w:bdr w:val="none" w:sz="0" w:space="0" w:color="auto" w:frame="1"/>
        </w:rPr>
        <w:t xml:space="preserve"> from Genomics Hubs</w:t>
      </w:r>
      <w:r w:rsidR="001C6B53" w:rsidRPr="005A6018">
        <w:rPr>
          <w:rFonts w:ascii="Calibri" w:hAnsi="Calibri" w:cs="Calibri"/>
          <w:color w:val="000000"/>
          <w:sz w:val="22"/>
          <w:szCs w:val="22"/>
          <w:bdr w:val="none" w:sz="0" w:space="0" w:color="auto" w:frame="1"/>
        </w:rPr>
        <w:t xml:space="preserve"> are not coded directly into the GP patient record, instead this information needs to be taken from the hospital letter and coded in correctly.</w:t>
      </w:r>
      <w:r w:rsidR="006E4761">
        <w:rPr>
          <w:rFonts w:ascii="Calibri" w:hAnsi="Calibri" w:cs="Calibri"/>
          <w:color w:val="000000"/>
          <w:sz w:val="22"/>
          <w:szCs w:val="22"/>
          <w:bdr w:val="none" w:sz="0" w:space="0" w:color="auto" w:frame="1"/>
        </w:rPr>
        <w:t xml:space="preserve"> </w:t>
      </w:r>
      <w:r w:rsidR="00B16F17">
        <w:rPr>
          <w:rFonts w:ascii="Calibri" w:hAnsi="Calibri" w:cs="Calibri"/>
          <w:color w:val="000000"/>
          <w:sz w:val="22"/>
          <w:szCs w:val="22"/>
          <w:bdr w:val="none" w:sz="0" w:space="0" w:color="auto" w:frame="1"/>
        </w:rPr>
        <w:t>This additional need to transfer data may be contributing to low levels of genetically confirmed FH recording.</w:t>
      </w:r>
    </w:p>
    <w:p w14:paraId="2A6C44C5" w14:textId="5DC2A556" w:rsidR="001C6B53" w:rsidRPr="005A6018" w:rsidRDefault="001C6B53" w:rsidP="001C6B53">
      <w:pPr>
        <w:pStyle w:val="xxmsonormal"/>
        <w:numPr>
          <w:ilvl w:val="1"/>
          <w:numId w:val="21"/>
        </w:numPr>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sidRPr="005A6018">
        <w:rPr>
          <w:rFonts w:ascii="Calibri" w:hAnsi="Calibri" w:cs="Calibri"/>
          <w:color w:val="000000"/>
          <w:sz w:val="22"/>
          <w:szCs w:val="22"/>
          <w:bdr w:val="none" w:sz="0" w:space="0" w:color="auto" w:frame="1"/>
        </w:rPr>
        <w:t>GPs have not historically had direct access to requesting genetic testing for FH so</w:t>
      </w:r>
      <w:r w:rsidR="00B56A4A">
        <w:rPr>
          <w:rFonts w:ascii="Calibri" w:hAnsi="Calibri" w:cs="Calibri"/>
          <w:color w:val="000000"/>
          <w:sz w:val="22"/>
          <w:szCs w:val="22"/>
          <w:bdr w:val="none" w:sz="0" w:space="0" w:color="auto" w:frame="1"/>
        </w:rPr>
        <w:t>,</w:t>
      </w:r>
      <w:r w:rsidRPr="005A6018">
        <w:rPr>
          <w:rFonts w:ascii="Calibri" w:hAnsi="Calibri" w:cs="Calibri"/>
          <w:color w:val="000000"/>
          <w:sz w:val="22"/>
          <w:szCs w:val="22"/>
          <w:bdr w:val="none" w:sz="0" w:space="0" w:color="auto" w:frame="1"/>
        </w:rPr>
        <w:t xml:space="preserve"> </w:t>
      </w:r>
      <w:r w:rsidR="00D55A2B">
        <w:rPr>
          <w:rFonts w:ascii="Calibri" w:hAnsi="Calibri" w:cs="Calibri"/>
          <w:color w:val="000000"/>
          <w:sz w:val="22"/>
          <w:szCs w:val="22"/>
          <w:bdr w:val="none" w:sz="0" w:space="0" w:color="auto" w:frame="1"/>
        </w:rPr>
        <w:t>in some cases</w:t>
      </w:r>
      <w:r w:rsidR="00B56A4A">
        <w:rPr>
          <w:rFonts w:ascii="Calibri" w:hAnsi="Calibri" w:cs="Calibri"/>
          <w:color w:val="000000"/>
          <w:sz w:val="22"/>
          <w:szCs w:val="22"/>
          <w:bdr w:val="none" w:sz="0" w:space="0" w:color="auto" w:frame="1"/>
        </w:rPr>
        <w:t>,</w:t>
      </w:r>
      <w:r w:rsidR="00D55A2B">
        <w:rPr>
          <w:rFonts w:ascii="Calibri" w:hAnsi="Calibri" w:cs="Calibri"/>
          <w:color w:val="000000"/>
          <w:sz w:val="22"/>
          <w:szCs w:val="22"/>
          <w:bdr w:val="none" w:sz="0" w:space="0" w:color="auto" w:frame="1"/>
        </w:rPr>
        <w:t xml:space="preserve"> </w:t>
      </w:r>
      <w:r w:rsidRPr="005A6018">
        <w:rPr>
          <w:rFonts w:ascii="Calibri" w:hAnsi="Calibri" w:cs="Calibri"/>
          <w:color w:val="000000"/>
          <w:sz w:val="22"/>
          <w:szCs w:val="22"/>
          <w:bdr w:val="none" w:sz="0" w:space="0" w:color="auto" w:frame="1"/>
        </w:rPr>
        <w:t xml:space="preserve">results </w:t>
      </w:r>
      <w:r w:rsidR="00D55A2B">
        <w:rPr>
          <w:rFonts w:ascii="Calibri" w:hAnsi="Calibri" w:cs="Calibri"/>
          <w:color w:val="000000"/>
          <w:sz w:val="22"/>
          <w:szCs w:val="22"/>
          <w:bdr w:val="none" w:sz="0" w:space="0" w:color="auto" w:frame="1"/>
        </w:rPr>
        <w:t>go</w:t>
      </w:r>
      <w:r w:rsidRPr="005A6018">
        <w:rPr>
          <w:rFonts w:ascii="Calibri" w:hAnsi="Calibri" w:cs="Calibri"/>
          <w:color w:val="000000"/>
          <w:sz w:val="22"/>
          <w:szCs w:val="22"/>
          <w:bdr w:val="none" w:sz="0" w:space="0" w:color="auto" w:frame="1"/>
        </w:rPr>
        <w:t xml:space="preserve"> back to a referring lipidologist or cardiologist</w:t>
      </w:r>
      <w:r w:rsidR="001A0F9F">
        <w:rPr>
          <w:rFonts w:ascii="Calibri" w:hAnsi="Calibri" w:cs="Calibri"/>
          <w:color w:val="000000"/>
          <w:sz w:val="22"/>
          <w:szCs w:val="22"/>
          <w:bdr w:val="none" w:sz="0" w:space="0" w:color="auto" w:frame="1"/>
        </w:rPr>
        <w:t>.</w:t>
      </w:r>
      <w:r w:rsidRPr="005A6018">
        <w:rPr>
          <w:rFonts w:ascii="Calibri" w:hAnsi="Calibri" w:cs="Calibri"/>
          <w:color w:val="000000"/>
          <w:sz w:val="22"/>
          <w:szCs w:val="22"/>
          <w:bdr w:val="none" w:sz="0" w:space="0" w:color="auto" w:frame="1"/>
        </w:rPr>
        <w:t xml:space="preserve"> GPs are reliant on the information being passed on to them</w:t>
      </w:r>
      <w:r w:rsidR="001451A8">
        <w:rPr>
          <w:rFonts w:ascii="Calibri" w:hAnsi="Calibri" w:cs="Calibri"/>
          <w:color w:val="000000"/>
          <w:sz w:val="22"/>
          <w:szCs w:val="22"/>
          <w:bdr w:val="none" w:sz="0" w:space="0" w:color="auto" w:frame="1"/>
        </w:rPr>
        <w:t xml:space="preserve"> and this information then being recorded in the primary care record</w:t>
      </w:r>
      <w:r w:rsidRPr="005A6018">
        <w:rPr>
          <w:rFonts w:ascii="Calibri" w:hAnsi="Calibri" w:cs="Calibri"/>
          <w:color w:val="000000"/>
          <w:sz w:val="22"/>
          <w:szCs w:val="22"/>
          <w:bdr w:val="none" w:sz="0" w:space="0" w:color="auto" w:frame="1"/>
        </w:rPr>
        <w:t>.</w:t>
      </w:r>
    </w:p>
    <w:p w14:paraId="16971582"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p>
    <w:p w14:paraId="3D20CAD5" w14:textId="73D02FE0" w:rsidR="001C6B53" w:rsidRPr="005A6018" w:rsidRDefault="0067213E" w:rsidP="001C6B53">
      <w:pPr>
        <w:pStyle w:val="xxmsonormal"/>
        <w:numPr>
          <w:ilvl w:val="0"/>
          <w:numId w:val="20"/>
        </w:numPr>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Pr>
          <w:rFonts w:ascii="Calibri" w:hAnsi="Calibri" w:cs="Calibri"/>
          <w:color w:val="000000"/>
          <w:sz w:val="22"/>
          <w:szCs w:val="22"/>
          <w:bdr w:val="none" w:sz="0" w:space="0" w:color="auto" w:frame="1"/>
        </w:rPr>
        <w:t xml:space="preserve">Recording a diagnosis of genetically </w:t>
      </w:r>
      <w:r w:rsidR="000E19E5">
        <w:rPr>
          <w:rFonts w:ascii="Calibri" w:hAnsi="Calibri" w:cs="Calibri"/>
          <w:color w:val="000000"/>
          <w:sz w:val="22"/>
          <w:szCs w:val="22"/>
          <w:bdr w:val="none" w:sz="0" w:space="0" w:color="auto" w:frame="1"/>
        </w:rPr>
        <w:t>confirmed FH may not directly i</w:t>
      </w:r>
      <w:r w:rsidR="001C6B53" w:rsidRPr="005A6018">
        <w:rPr>
          <w:rFonts w:ascii="Calibri" w:hAnsi="Calibri" w:cs="Calibri"/>
          <w:color w:val="000000"/>
          <w:sz w:val="22"/>
          <w:szCs w:val="22"/>
          <w:bdr w:val="none" w:sz="0" w:space="0" w:color="auto" w:frame="1"/>
        </w:rPr>
        <w:t xml:space="preserve">mpact on </w:t>
      </w:r>
      <w:r w:rsidR="000E19E5">
        <w:rPr>
          <w:rFonts w:ascii="Calibri" w:hAnsi="Calibri" w:cs="Calibri"/>
          <w:color w:val="000000"/>
          <w:sz w:val="22"/>
          <w:szCs w:val="22"/>
          <w:bdr w:val="none" w:sz="0" w:space="0" w:color="auto" w:frame="1"/>
        </w:rPr>
        <w:t xml:space="preserve">patient </w:t>
      </w:r>
      <w:r w:rsidR="001C6B53" w:rsidRPr="005A6018">
        <w:rPr>
          <w:rFonts w:ascii="Calibri" w:hAnsi="Calibri" w:cs="Calibri"/>
          <w:color w:val="000000"/>
          <w:sz w:val="22"/>
          <w:szCs w:val="22"/>
          <w:bdr w:val="none" w:sz="0" w:space="0" w:color="auto" w:frame="1"/>
        </w:rPr>
        <w:t>care</w:t>
      </w:r>
    </w:p>
    <w:p w14:paraId="2E122678" w14:textId="740956D7" w:rsidR="001C6B53" w:rsidRPr="005A6018" w:rsidRDefault="001C6B53" w:rsidP="001C6B53">
      <w:pPr>
        <w:pStyle w:val="xxmsonormal"/>
        <w:numPr>
          <w:ilvl w:val="1"/>
          <w:numId w:val="22"/>
        </w:numPr>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sidRPr="005A6018">
        <w:rPr>
          <w:rFonts w:ascii="Calibri" w:hAnsi="Calibri" w:cs="Calibri"/>
          <w:color w:val="000000"/>
          <w:sz w:val="22"/>
          <w:szCs w:val="22"/>
          <w:bdr w:val="none" w:sz="0" w:space="0" w:color="auto" w:frame="1"/>
        </w:rPr>
        <w:t xml:space="preserve">Patients referred for a genetic test will have already had a clinical diagnosis of FH to </w:t>
      </w:r>
      <w:r w:rsidR="00250F72">
        <w:rPr>
          <w:rFonts w:ascii="Calibri" w:hAnsi="Calibri" w:cs="Calibri"/>
          <w:color w:val="000000"/>
          <w:sz w:val="22"/>
          <w:szCs w:val="22"/>
          <w:bdr w:val="none" w:sz="0" w:space="0" w:color="auto" w:frame="1"/>
        </w:rPr>
        <w:t xml:space="preserve">enable them to </w:t>
      </w:r>
      <w:r w:rsidRPr="005A6018">
        <w:rPr>
          <w:rFonts w:ascii="Calibri" w:hAnsi="Calibri" w:cs="Calibri"/>
          <w:color w:val="000000"/>
          <w:sz w:val="22"/>
          <w:szCs w:val="22"/>
          <w:bdr w:val="none" w:sz="0" w:space="0" w:color="auto" w:frame="1"/>
        </w:rPr>
        <w:t>meet the eligibility criteria</w:t>
      </w:r>
      <w:r w:rsidR="00250F72">
        <w:rPr>
          <w:rFonts w:ascii="Calibri" w:hAnsi="Calibri" w:cs="Calibri"/>
          <w:color w:val="000000"/>
          <w:sz w:val="22"/>
          <w:szCs w:val="22"/>
          <w:bdr w:val="none" w:sz="0" w:space="0" w:color="auto" w:frame="1"/>
        </w:rPr>
        <w:t xml:space="preserve"> for genetic testing referral</w:t>
      </w:r>
      <w:r w:rsidRPr="005A6018">
        <w:rPr>
          <w:rFonts w:ascii="Calibri" w:hAnsi="Calibri" w:cs="Calibri"/>
          <w:color w:val="000000"/>
          <w:sz w:val="22"/>
          <w:szCs w:val="22"/>
          <w:bdr w:val="none" w:sz="0" w:space="0" w:color="auto" w:frame="1"/>
        </w:rPr>
        <w:t>.</w:t>
      </w:r>
    </w:p>
    <w:p w14:paraId="095AA250" w14:textId="03E11C53" w:rsidR="001C6B53" w:rsidRPr="005A6018" w:rsidRDefault="001C6B53" w:rsidP="001C6B53">
      <w:pPr>
        <w:pStyle w:val="xxmsonormal"/>
        <w:numPr>
          <w:ilvl w:val="1"/>
          <w:numId w:val="22"/>
        </w:numPr>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sidRPr="005A6018">
        <w:rPr>
          <w:rFonts w:ascii="Calibri" w:hAnsi="Calibri" w:cs="Calibri"/>
          <w:color w:val="000000"/>
          <w:sz w:val="22"/>
          <w:szCs w:val="22"/>
          <w:bdr w:val="none" w:sz="0" w:space="0" w:color="auto" w:frame="1"/>
        </w:rPr>
        <w:t>The management of an individual with a clinical diagnosis for FH is the same as that for those with a genetically confirmed diagnosis</w:t>
      </w:r>
      <w:r w:rsidR="00F94C85">
        <w:rPr>
          <w:rFonts w:ascii="Calibri" w:hAnsi="Calibri" w:cs="Calibri"/>
          <w:color w:val="000000"/>
          <w:sz w:val="22"/>
          <w:szCs w:val="22"/>
          <w:bdr w:val="none" w:sz="0" w:space="0" w:color="auto" w:frame="1"/>
        </w:rPr>
        <w:t xml:space="preserve">, </w:t>
      </w:r>
      <w:r w:rsidRPr="005A6018">
        <w:rPr>
          <w:rFonts w:ascii="Calibri" w:hAnsi="Calibri" w:cs="Calibri"/>
          <w:color w:val="000000"/>
          <w:sz w:val="22"/>
          <w:szCs w:val="22"/>
          <w:bdr w:val="none" w:sz="0" w:space="0" w:color="auto" w:frame="1"/>
        </w:rPr>
        <w:t xml:space="preserve">meaning </w:t>
      </w:r>
      <w:r w:rsidR="00F94C85">
        <w:rPr>
          <w:rFonts w:ascii="Calibri" w:hAnsi="Calibri" w:cs="Calibri"/>
          <w:color w:val="000000"/>
          <w:sz w:val="22"/>
          <w:szCs w:val="22"/>
          <w:bdr w:val="none" w:sz="0" w:space="0" w:color="auto" w:frame="1"/>
        </w:rPr>
        <w:t xml:space="preserve">that if a clinical diagnosis is recorded then </w:t>
      </w:r>
      <w:r w:rsidRPr="005A6018">
        <w:rPr>
          <w:rFonts w:ascii="Calibri" w:hAnsi="Calibri" w:cs="Calibri"/>
          <w:color w:val="000000"/>
          <w:sz w:val="22"/>
          <w:szCs w:val="22"/>
          <w:bdr w:val="none" w:sz="0" w:space="0" w:color="auto" w:frame="1"/>
        </w:rPr>
        <w:t>they should already be prescribed a lipid lowering therapy aiming for a 50% reduction in lipid levels (age dependent).</w:t>
      </w:r>
    </w:p>
    <w:p w14:paraId="75118CEF" w14:textId="375B7735" w:rsidR="001C6B53" w:rsidRPr="005A6018" w:rsidRDefault="001C6B53" w:rsidP="001C6B53">
      <w:pPr>
        <w:pStyle w:val="xxmsonormal"/>
        <w:numPr>
          <w:ilvl w:val="1"/>
          <w:numId w:val="22"/>
        </w:numPr>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sidRPr="005A6018">
        <w:rPr>
          <w:rFonts w:ascii="Calibri" w:hAnsi="Calibri" w:cs="Calibri"/>
          <w:color w:val="000000"/>
          <w:sz w:val="22"/>
          <w:szCs w:val="22"/>
          <w:bdr w:val="none" w:sz="0" w:space="0" w:color="auto" w:frame="1"/>
        </w:rPr>
        <w:t xml:space="preserve">As the genetically confirmed diagnosis does not alter </w:t>
      </w:r>
      <w:r w:rsidR="00DC4CF9">
        <w:rPr>
          <w:rFonts w:ascii="Calibri" w:hAnsi="Calibri" w:cs="Calibri"/>
          <w:color w:val="000000"/>
          <w:sz w:val="22"/>
          <w:szCs w:val="22"/>
          <w:bdr w:val="none" w:sz="0" w:space="0" w:color="auto" w:frame="1"/>
        </w:rPr>
        <w:t xml:space="preserve">patient </w:t>
      </w:r>
      <w:r w:rsidRPr="005A6018">
        <w:rPr>
          <w:rFonts w:ascii="Calibri" w:hAnsi="Calibri" w:cs="Calibri"/>
          <w:color w:val="000000"/>
          <w:sz w:val="22"/>
          <w:szCs w:val="22"/>
          <w:bdr w:val="none" w:sz="0" w:space="0" w:color="auto" w:frame="1"/>
        </w:rPr>
        <w:t>management, there is less incentive to record this on the GP record.</w:t>
      </w:r>
    </w:p>
    <w:p w14:paraId="3D589DAB"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p>
    <w:p w14:paraId="0BA571E1" w14:textId="77777777" w:rsidR="001C6B53" w:rsidRPr="005A6018" w:rsidRDefault="001C6B53" w:rsidP="001C6B53">
      <w:pPr>
        <w:pStyle w:val="xxmsonormal"/>
        <w:numPr>
          <w:ilvl w:val="0"/>
          <w:numId w:val="20"/>
        </w:numPr>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sidRPr="005A6018">
        <w:rPr>
          <w:rFonts w:ascii="Calibri" w:hAnsi="Calibri" w:cs="Calibri"/>
          <w:color w:val="000000"/>
          <w:sz w:val="22"/>
          <w:szCs w:val="22"/>
          <w:bdr w:val="none" w:sz="0" w:space="0" w:color="auto" w:frame="1"/>
        </w:rPr>
        <w:t>Understanding of FH in primary care</w:t>
      </w:r>
    </w:p>
    <w:p w14:paraId="650E8686" w14:textId="4940ACEA" w:rsidR="001C6B53" w:rsidRPr="005A6018" w:rsidRDefault="001C6B53" w:rsidP="001C6B53">
      <w:pPr>
        <w:pStyle w:val="xxmsonormal"/>
        <w:numPr>
          <w:ilvl w:val="1"/>
          <w:numId w:val="23"/>
        </w:numPr>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sidRPr="005A6018">
        <w:rPr>
          <w:rFonts w:ascii="Calibri" w:hAnsi="Calibri" w:cs="Calibri"/>
          <w:color w:val="000000"/>
          <w:sz w:val="22"/>
          <w:szCs w:val="22"/>
          <w:bdr w:val="none" w:sz="0" w:space="0" w:color="auto" w:frame="1"/>
        </w:rPr>
        <w:t>GPs are less familiar with FH than many of the other risk factors for CVD and</w:t>
      </w:r>
      <w:r w:rsidR="005347A5">
        <w:rPr>
          <w:rFonts w:ascii="Calibri" w:hAnsi="Calibri" w:cs="Calibri"/>
          <w:color w:val="000000"/>
          <w:sz w:val="22"/>
          <w:szCs w:val="22"/>
          <w:bdr w:val="none" w:sz="0" w:space="0" w:color="auto" w:frame="1"/>
        </w:rPr>
        <w:t xml:space="preserve"> </w:t>
      </w:r>
      <w:r w:rsidRPr="005A6018">
        <w:rPr>
          <w:rFonts w:ascii="Calibri" w:hAnsi="Calibri" w:cs="Calibri"/>
          <w:color w:val="000000"/>
          <w:sz w:val="22"/>
          <w:szCs w:val="22"/>
          <w:bdr w:val="none" w:sz="0" w:space="0" w:color="auto" w:frame="1"/>
        </w:rPr>
        <w:t>may not know the appropriate SNOMED codes for clinical diagnosis of FH and genetically confirmed diagnosis of FH.</w:t>
      </w:r>
      <w:r w:rsidR="00E14790">
        <w:rPr>
          <w:rFonts w:ascii="Calibri" w:hAnsi="Calibri" w:cs="Calibri"/>
          <w:color w:val="000000"/>
          <w:sz w:val="22"/>
          <w:szCs w:val="22"/>
          <w:bdr w:val="none" w:sz="0" w:space="0" w:color="auto" w:frame="1"/>
        </w:rPr>
        <w:t xml:space="preserve"> This means that there may be under-recording of FH in primary care records.</w:t>
      </w:r>
    </w:p>
    <w:p w14:paraId="794BAEF3"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p>
    <w:p w14:paraId="67838C2C"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b/>
          <w:bCs/>
          <w:color w:val="000000"/>
          <w:sz w:val="22"/>
          <w:szCs w:val="22"/>
          <w:bdr w:val="none" w:sz="0" w:space="0" w:color="auto" w:frame="1"/>
        </w:rPr>
      </w:pPr>
      <w:r w:rsidRPr="005A6018">
        <w:rPr>
          <w:rFonts w:ascii="Calibri" w:hAnsi="Calibri" w:cs="Calibri"/>
          <w:b/>
          <w:bCs/>
          <w:color w:val="000000"/>
          <w:sz w:val="22"/>
          <w:szCs w:val="22"/>
          <w:bdr w:val="none" w:sz="0" w:space="0" w:color="auto" w:frame="1"/>
        </w:rPr>
        <w:t>Moving forward</w:t>
      </w:r>
    </w:p>
    <w:p w14:paraId="3CA56367"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p>
    <w:p w14:paraId="2FE34414" w14:textId="280B545B"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r w:rsidRPr="005A6018">
        <w:rPr>
          <w:rFonts w:ascii="Calibri" w:hAnsi="Calibri" w:cs="Calibri"/>
          <w:color w:val="000000"/>
          <w:sz w:val="22"/>
          <w:szCs w:val="22"/>
          <w:bdr w:val="none" w:sz="0" w:space="0" w:color="auto" w:frame="1"/>
        </w:rPr>
        <w:t xml:space="preserve">To improve the quality of care for patients with FH, it has been recognised that processes need to be put in place to improve the coding and recording of genetically confirmed diagnoses. Work is </w:t>
      </w:r>
      <w:r w:rsidR="001D35C4">
        <w:rPr>
          <w:rFonts w:ascii="Calibri" w:hAnsi="Calibri" w:cs="Calibri"/>
          <w:color w:val="000000"/>
          <w:sz w:val="22"/>
          <w:szCs w:val="22"/>
          <w:bdr w:val="none" w:sz="0" w:space="0" w:color="auto" w:frame="1"/>
        </w:rPr>
        <w:t>underway to allow Genomic</w:t>
      </w:r>
      <w:r w:rsidR="000B7B0E">
        <w:rPr>
          <w:rFonts w:ascii="Calibri" w:hAnsi="Calibri" w:cs="Calibri"/>
          <w:color w:val="000000"/>
          <w:sz w:val="22"/>
          <w:szCs w:val="22"/>
          <w:bdr w:val="none" w:sz="0" w:space="0" w:color="auto" w:frame="1"/>
        </w:rPr>
        <w:t>s Hubs to report new diagnoses of genetically confirmed FH. However</w:t>
      </w:r>
      <w:r w:rsidR="000D219E">
        <w:rPr>
          <w:rFonts w:ascii="Calibri" w:hAnsi="Calibri" w:cs="Calibri"/>
          <w:color w:val="000000"/>
          <w:sz w:val="22"/>
          <w:szCs w:val="22"/>
          <w:bdr w:val="none" w:sz="0" w:space="0" w:color="auto" w:frame="1"/>
        </w:rPr>
        <w:t xml:space="preserve">, they will not report on those that have already been diagnosed so will not cover </w:t>
      </w:r>
      <w:r w:rsidR="008B6BED">
        <w:rPr>
          <w:rFonts w:ascii="Calibri" w:hAnsi="Calibri" w:cs="Calibri"/>
          <w:color w:val="000000"/>
          <w:sz w:val="22"/>
          <w:szCs w:val="22"/>
          <w:bdr w:val="none" w:sz="0" w:space="0" w:color="auto" w:frame="1"/>
        </w:rPr>
        <w:t xml:space="preserve">all people with an </w:t>
      </w:r>
      <w:r w:rsidR="0013260F">
        <w:rPr>
          <w:rFonts w:ascii="Calibri" w:hAnsi="Calibri" w:cs="Calibri"/>
          <w:color w:val="000000"/>
          <w:sz w:val="22"/>
          <w:szCs w:val="22"/>
          <w:bdr w:val="none" w:sz="0" w:space="0" w:color="auto" w:frame="1"/>
        </w:rPr>
        <w:t xml:space="preserve">FH diagnosis. </w:t>
      </w:r>
      <w:r w:rsidRPr="005A6018">
        <w:rPr>
          <w:rFonts w:ascii="Calibri" w:hAnsi="Calibri" w:cs="Calibri"/>
          <w:color w:val="000000"/>
          <w:sz w:val="22"/>
          <w:szCs w:val="22"/>
          <w:bdr w:val="none" w:sz="0" w:space="0" w:color="auto" w:frame="1"/>
        </w:rPr>
        <w:t>As well as this, Genomic Hubs are also being encouraged to use a standard set of SNOMED codes to record genetically confirmed FH so that the practice records this information correctly. Ideally the results should come through coded directly into the GP clinical record.</w:t>
      </w:r>
    </w:p>
    <w:p w14:paraId="3CB78F0E"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p>
    <w:p w14:paraId="68F7D31E"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color w:val="000000"/>
          <w:sz w:val="22"/>
          <w:szCs w:val="22"/>
          <w:bdr w:val="none" w:sz="0" w:space="0" w:color="auto" w:frame="1"/>
        </w:rPr>
      </w:pPr>
    </w:p>
    <w:p w14:paraId="066B073C" w14:textId="77777777" w:rsidR="001C6B53" w:rsidRPr="005A6018" w:rsidRDefault="001C6B53" w:rsidP="001C6B53">
      <w:pPr>
        <w:pStyle w:val="xxmsonormal"/>
        <w:shd w:val="clear" w:color="auto" w:fill="FFFFFF"/>
        <w:spacing w:before="0" w:beforeAutospacing="0" w:after="0" w:afterAutospacing="0"/>
        <w:textAlignment w:val="baseline"/>
        <w:rPr>
          <w:rFonts w:ascii="Calibri" w:hAnsi="Calibri" w:cs="Calibri"/>
          <w:b/>
          <w:bCs/>
          <w:color w:val="000000"/>
          <w:sz w:val="22"/>
          <w:szCs w:val="22"/>
          <w:bdr w:val="none" w:sz="0" w:space="0" w:color="auto" w:frame="1"/>
        </w:rPr>
      </w:pPr>
      <w:r w:rsidRPr="005A6018">
        <w:rPr>
          <w:rFonts w:ascii="Calibri" w:hAnsi="Calibri" w:cs="Calibri"/>
          <w:b/>
          <w:bCs/>
          <w:color w:val="000000"/>
          <w:sz w:val="22"/>
          <w:szCs w:val="22"/>
          <w:bdr w:val="none" w:sz="0" w:space="0" w:color="auto" w:frame="1"/>
        </w:rPr>
        <w:t>Understanding the CVDPREVENT data</w:t>
      </w:r>
    </w:p>
    <w:p w14:paraId="53013A66" w14:textId="77777777" w:rsidR="001C6B53" w:rsidRPr="005A6018" w:rsidRDefault="001C6B53" w:rsidP="001C6B53">
      <w:pPr>
        <w:pStyle w:val="xxmsonormal"/>
        <w:shd w:val="clear" w:color="auto" w:fill="FFFFFF"/>
        <w:spacing w:before="0" w:beforeAutospacing="0" w:after="0" w:afterAutospacing="0"/>
        <w:textAlignment w:val="baseline"/>
        <w:rPr>
          <w:rFonts w:ascii="Aptos" w:hAnsi="Aptos" w:cs="Segoe UI"/>
          <w:b/>
          <w:bCs/>
          <w:color w:val="242424"/>
          <w:sz w:val="22"/>
          <w:szCs w:val="22"/>
        </w:rPr>
      </w:pPr>
    </w:p>
    <w:p w14:paraId="2E01370B" w14:textId="712A3E55" w:rsidR="005455E6" w:rsidRDefault="001C6B53" w:rsidP="001C6B53">
      <w:pPr>
        <w:spacing w:after="120" w:line="240" w:lineRule="auto"/>
        <w:rPr>
          <w:rFonts w:cs="Calibri"/>
        </w:rPr>
      </w:pPr>
      <w:proofErr w:type="gramStart"/>
      <w:r w:rsidRPr="005A6018">
        <w:rPr>
          <w:rFonts w:cs="Calibri"/>
        </w:rPr>
        <w:t>In order to</w:t>
      </w:r>
      <w:proofErr w:type="gramEnd"/>
      <w:r w:rsidRPr="005A6018">
        <w:rPr>
          <w:rFonts w:cs="Calibri"/>
        </w:rPr>
        <w:t xml:space="preserve"> highlight the importance of improving the recording of diagnoses of genetically confirmed FH and to encourage improvement in this area, the CVDPREVENT audit is now reporting prevalence of genetically confirmed FH to ICB level </w:t>
      </w:r>
      <w:r w:rsidRPr="00AC4DF3">
        <w:rPr>
          <w:rFonts w:cs="Calibri"/>
        </w:rPr>
        <w:t>(CVDP003FH). As</w:t>
      </w:r>
      <w:r w:rsidRPr="005A6018">
        <w:rPr>
          <w:rFonts w:cs="Calibri"/>
        </w:rPr>
        <w:t xml:space="preserve"> stated above, one of the key issues in this area is that the data for this is not currently reliably entered and recorded on GP records. Therefore, care should be taken when interpreting the CVDPREVENT audit indicator factoring in the caveats outlined above. By sharing the data that is available via the audit, improvements in data, processes and patient care can be achieved.</w:t>
      </w:r>
    </w:p>
    <w:sectPr w:rsidR="005455E6" w:rsidSect="008218E0">
      <w:headerReference w:type="default" r:id="rId13"/>
      <w:pgSz w:w="11906" w:h="16838"/>
      <w:pgMar w:top="1440" w:right="1440" w:bottom="1440" w:left="1440" w:header="39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46EFD9" w14:textId="77777777" w:rsidR="008F0FC6" w:rsidRDefault="008F0FC6" w:rsidP="0033632F">
      <w:pPr>
        <w:spacing w:after="0" w:line="240" w:lineRule="auto"/>
      </w:pPr>
      <w:r>
        <w:separator/>
      </w:r>
    </w:p>
  </w:endnote>
  <w:endnote w:type="continuationSeparator" w:id="0">
    <w:p w14:paraId="4F5F1756" w14:textId="77777777" w:rsidR="008F0FC6" w:rsidRDefault="008F0FC6" w:rsidP="003363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90D95" w14:textId="77777777" w:rsidR="008F0FC6" w:rsidRDefault="008F0FC6" w:rsidP="0033632F">
      <w:pPr>
        <w:spacing w:after="0" w:line="240" w:lineRule="auto"/>
      </w:pPr>
      <w:r>
        <w:separator/>
      </w:r>
    </w:p>
  </w:footnote>
  <w:footnote w:type="continuationSeparator" w:id="0">
    <w:p w14:paraId="42FC9314" w14:textId="77777777" w:rsidR="008F0FC6" w:rsidRDefault="008F0FC6" w:rsidP="003363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38C80" w14:textId="220DD5BA" w:rsidR="004E54F4" w:rsidRDefault="009474C3" w:rsidP="008218E0">
    <w:pPr>
      <w:pStyle w:val="Header"/>
      <w:tabs>
        <w:tab w:val="left" w:pos="7380"/>
        <w:tab w:val="left" w:pos="8016"/>
      </w:tabs>
    </w:pPr>
    <w:r>
      <w:rPr>
        <w:noProof/>
      </w:rPr>
      <w:drawing>
        <wp:anchor distT="0" distB="0" distL="114300" distR="114300" simplePos="0" relativeHeight="251657216" behindDoc="0" locked="0" layoutInCell="1" allowOverlap="1" wp14:anchorId="017B89B1" wp14:editId="12F12E5B">
          <wp:simplePos x="0" y="0"/>
          <wp:positionH relativeFrom="margin">
            <wp:posOffset>5372348</wp:posOffset>
          </wp:positionH>
          <wp:positionV relativeFrom="paragraph">
            <wp:posOffset>-63776</wp:posOffset>
          </wp:positionV>
          <wp:extent cx="737235" cy="553720"/>
          <wp:effectExtent l="0" t="0" r="5715" b="0"/>
          <wp:wrapNone/>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723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7B5DF362" wp14:editId="21798BAF">
          <wp:simplePos x="0" y="0"/>
          <wp:positionH relativeFrom="column">
            <wp:posOffset>3560915</wp:posOffset>
          </wp:positionH>
          <wp:positionV relativeFrom="paragraph">
            <wp:posOffset>-291990</wp:posOffset>
          </wp:positionV>
          <wp:extent cx="967105" cy="914400"/>
          <wp:effectExtent l="0" t="0" r="0" b="0"/>
          <wp:wrapNone/>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67105"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9C49AC">
      <w:rPr>
        <w:noProof/>
      </w:rPr>
      <w:drawing>
        <wp:anchor distT="0" distB="0" distL="114300" distR="114300" simplePos="0" relativeHeight="251661312" behindDoc="0" locked="0" layoutInCell="1" allowOverlap="1" wp14:anchorId="58F8F10D" wp14:editId="4FDE0896">
          <wp:simplePos x="0" y="0"/>
          <wp:positionH relativeFrom="column">
            <wp:posOffset>-394831</wp:posOffset>
          </wp:positionH>
          <wp:positionV relativeFrom="paragraph">
            <wp:posOffset>-72445</wp:posOffset>
          </wp:positionV>
          <wp:extent cx="1369695" cy="517525"/>
          <wp:effectExtent l="0" t="0" r="1905" b="0"/>
          <wp:wrapSquare wrapText="bothSides"/>
          <wp:docPr id="4877089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708907" name="Picture 487708907"/>
                  <pic:cNvPicPr/>
                </pic:nvPicPr>
                <pic:blipFill>
                  <a:blip r:embed="rId3">
                    <a:extLst>
                      <a:ext uri="{28A0092B-C50C-407E-A947-70E740481C1C}">
                        <a14:useLocalDpi xmlns:a14="http://schemas.microsoft.com/office/drawing/2010/main" val="0"/>
                      </a:ext>
                    </a:extLst>
                  </a:blip>
                  <a:stretch>
                    <a:fillRect/>
                  </a:stretch>
                </pic:blipFill>
                <pic:spPr>
                  <a:xfrm>
                    <a:off x="0" y="0"/>
                    <a:ext cx="1369695" cy="517525"/>
                  </a:xfrm>
                  <a:prstGeom prst="rect">
                    <a:avLst/>
                  </a:prstGeom>
                </pic:spPr>
              </pic:pic>
            </a:graphicData>
          </a:graphic>
          <wp14:sizeRelH relativeFrom="margin">
            <wp14:pctWidth>0</wp14:pctWidth>
          </wp14:sizeRelH>
          <wp14:sizeRelV relativeFrom="margin">
            <wp14:pctHeight>0</wp14:pctHeight>
          </wp14:sizeRelV>
        </wp:anchor>
      </w:drawing>
    </w:r>
    <w:r w:rsidR="004E54F4">
      <w:tab/>
    </w:r>
    <w:r w:rsidR="004E54F4">
      <w:tab/>
    </w:r>
    <w:r w:rsidR="00D153BF">
      <w:tab/>
    </w:r>
    <w:r w:rsidR="008218E0">
      <w:tab/>
    </w:r>
  </w:p>
  <w:p w14:paraId="14A1DE93" w14:textId="77777777" w:rsidR="004E54F4" w:rsidRDefault="00B61471" w:rsidP="00B61471">
    <w:pPr>
      <w:pStyle w:val="Header"/>
      <w:tabs>
        <w:tab w:val="clear" w:pos="4513"/>
        <w:tab w:val="clear" w:pos="9026"/>
        <w:tab w:val="left" w:pos="651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935A1"/>
    <w:multiLevelType w:val="hybridMultilevel"/>
    <w:tmpl w:val="15EA0B08"/>
    <w:lvl w:ilvl="0" w:tplc="AE3263A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4802D8D"/>
    <w:multiLevelType w:val="hybridMultilevel"/>
    <w:tmpl w:val="764808E0"/>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5AE6AD6"/>
    <w:multiLevelType w:val="hybridMultilevel"/>
    <w:tmpl w:val="CF02FC12"/>
    <w:lvl w:ilvl="0" w:tplc="B762CABA">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D65451"/>
    <w:multiLevelType w:val="hybridMultilevel"/>
    <w:tmpl w:val="BE6CD62A"/>
    <w:lvl w:ilvl="0" w:tplc="CE7AD032">
      <w:start w:val="7"/>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367D41"/>
    <w:multiLevelType w:val="hybridMultilevel"/>
    <w:tmpl w:val="7976347C"/>
    <w:lvl w:ilvl="0" w:tplc="C91A711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2A3AD1"/>
    <w:multiLevelType w:val="hybridMultilevel"/>
    <w:tmpl w:val="F5DE02B0"/>
    <w:lvl w:ilvl="0" w:tplc="FFFFFFF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0B018A6"/>
    <w:multiLevelType w:val="hybridMultilevel"/>
    <w:tmpl w:val="E702FDB0"/>
    <w:lvl w:ilvl="0" w:tplc="FFFFFFF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2AD648D"/>
    <w:multiLevelType w:val="hybridMultilevel"/>
    <w:tmpl w:val="E4644D10"/>
    <w:lvl w:ilvl="0" w:tplc="894819E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4A4B8B"/>
    <w:multiLevelType w:val="hybridMultilevel"/>
    <w:tmpl w:val="A89C035C"/>
    <w:lvl w:ilvl="0" w:tplc="C15695EA">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224040"/>
    <w:multiLevelType w:val="hybridMultilevel"/>
    <w:tmpl w:val="A372D928"/>
    <w:lvl w:ilvl="0" w:tplc="E89A219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3A2D5A"/>
    <w:multiLevelType w:val="hybridMultilevel"/>
    <w:tmpl w:val="ADC60958"/>
    <w:lvl w:ilvl="0" w:tplc="0DBA1610">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FCF2C30"/>
    <w:multiLevelType w:val="hybridMultilevel"/>
    <w:tmpl w:val="895C1E8C"/>
    <w:lvl w:ilvl="0" w:tplc="96780732">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C473C1"/>
    <w:multiLevelType w:val="hybridMultilevel"/>
    <w:tmpl w:val="1D6C13F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FF2B1C"/>
    <w:multiLevelType w:val="hybridMultilevel"/>
    <w:tmpl w:val="A5E27634"/>
    <w:lvl w:ilvl="0" w:tplc="CE7AD032">
      <w:start w:val="7"/>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FFE0DC3"/>
    <w:multiLevelType w:val="hybridMultilevel"/>
    <w:tmpl w:val="26E46EA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FE64D92"/>
    <w:multiLevelType w:val="hybridMultilevel"/>
    <w:tmpl w:val="B05AF052"/>
    <w:lvl w:ilvl="0" w:tplc="2A72BA90">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218703D"/>
    <w:multiLevelType w:val="hybridMultilevel"/>
    <w:tmpl w:val="DFF43B3C"/>
    <w:lvl w:ilvl="0" w:tplc="64069FB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FC47098"/>
    <w:multiLevelType w:val="hybridMultilevel"/>
    <w:tmpl w:val="72824A0C"/>
    <w:lvl w:ilvl="0" w:tplc="92B47ED6">
      <w:start w:val="1"/>
      <w:numFmt w:val="decimal"/>
      <w:lvlText w:val="%1."/>
      <w:lvlJc w:val="left"/>
      <w:pPr>
        <w:ind w:left="501" w:hanging="360"/>
      </w:pPr>
      <w:rPr>
        <w:b w:val="0"/>
      </w:rPr>
    </w:lvl>
    <w:lvl w:ilvl="1" w:tplc="08090001">
      <w:start w:val="1"/>
      <w:numFmt w:val="bullet"/>
      <w:lvlText w:val=""/>
      <w:lvlJc w:val="left"/>
      <w:pPr>
        <w:ind w:left="1440" w:hanging="360"/>
      </w:pPr>
      <w:rPr>
        <w:rFonts w:ascii="Symbol" w:hAnsi="Symbol" w:hint="default"/>
      </w:rPr>
    </w:lvl>
    <w:lvl w:ilvl="2" w:tplc="2C784404">
      <w:numFmt w:val="bullet"/>
      <w:lvlText w:val="•"/>
      <w:lvlJc w:val="left"/>
      <w:pPr>
        <w:ind w:left="2700" w:hanging="720"/>
      </w:pPr>
      <w:rPr>
        <w:rFonts w:ascii="Calibri" w:eastAsia="Calibri" w:hAnsi="Calibri" w:cs="Calibri"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1883C88"/>
    <w:multiLevelType w:val="hybridMultilevel"/>
    <w:tmpl w:val="CF160BC0"/>
    <w:lvl w:ilvl="0" w:tplc="D318ECC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5062AA2"/>
    <w:multiLevelType w:val="hybridMultilevel"/>
    <w:tmpl w:val="F4BA21B4"/>
    <w:lvl w:ilvl="0" w:tplc="A0A6804A">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9340EB9"/>
    <w:multiLevelType w:val="hybridMultilevel"/>
    <w:tmpl w:val="AB4ADA0E"/>
    <w:lvl w:ilvl="0" w:tplc="FFFFFFF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ECF14AB"/>
    <w:multiLevelType w:val="hybridMultilevel"/>
    <w:tmpl w:val="15EA0B08"/>
    <w:lvl w:ilvl="0" w:tplc="AE3263A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7FCE438B"/>
    <w:multiLevelType w:val="hybridMultilevel"/>
    <w:tmpl w:val="D0BC3BD2"/>
    <w:lvl w:ilvl="0" w:tplc="8BCCA0FE">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59812517">
    <w:abstractNumId w:val="17"/>
  </w:num>
  <w:num w:numId="2" w16cid:durableId="1502156863">
    <w:abstractNumId w:val="21"/>
  </w:num>
  <w:num w:numId="3" w16cid:durableId="1669164375">
    <w:abstractNumId w:val="0"/>
  </w:num>
  <w:num w:numId="4" w16cid:durableId="2041055108">
    <w:abstractNumId w:val="10"/>
  </w:num>
  <w:num w:numId="5" w16cid:durableId="326325342">
    <w:abstractNumId w:val="4"/>
  </w:num>
  <w:num w:numId="6" w16cid:durableId="1669672165">
    <w:abstractNumId w:val="7"/>
  </w:num>
  <w:num w:numId="7" w16cid:durableId="2075157306">
    <w:abstractNumId w:val="13"/>
  </w:num>
  <w:num w:numId="8" w16cid:durableId="2112578813">
    <w:abstractNumId w:val="3"/>
  </w:num>
  <w:num w:numId="9" w16cid:durableId="27990952">
    <w:abstractNumId w:val="9"/>
  </w:num>
  <w:num w:numId="10" w16cid:durableId="618219581">
    <w:abstractNumId w:val="8"/>
  </w:num>
  <w:num w:numId="11" w16cid:durableId="2136562669">
    <w:abstractNumId w:val="15"/>
  </w:num>
  <w:num w:numId="12" w16cid:durableId="1799955564">
    <w:abstractNumId w:val="12"/>
  </w:num>
  <w:num w:numId="13" w16cid:durableId="211312977">
    <w:abstractNumId w:val="1"/>
  </w:num>
  <w:num w:numId="14" w16cid:durableId="478573452">
    <w:abstractNumId w:val="22"/>
  </w:num>
  <w:num w:numId="15" w16cid:durableId="615257790">
    <w:abstractNumId w:val="18"/>
  </w:num>
  <w:num w:numId="16" w16cid:durableId="856117965">
    <w:abstractNumId w:val="11"/>
  </w:num>
  <w:num w:numId="17" w16cid:durableId="1532911623">
    <w:abstractNumId w:val="19"/>
  </w:num>
  <w:num w:numId="18" w16cid:durableId="833960444">
    <w:abstractNumId w:val="16"/>
  </w:num>
  <w:num w:numId="19" w16cid:durableId="988175503">
    <w:abstractNumId w:val="2"/>
  </w:num>
  <w:num w:numId="20" w16cid:durableId="148405725">
    <w:abstractNumId w:val="14"/>
  </w:num>
  <w:num w:numId="21" w16cid:durableId="270674271">
    <w:abstractNumId w:val="20"/>
  </w:num>
  <w:num w:numId="22" w16cid:durableId="356545386">
    <w:abstractNumId w:val="5"/>
  </w:num>
  <w:num w:numId="23" w16cid:durableId="1294675366">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32F"/>
    <w:rsid w:val="0000041E"/>
    <w:rsid w:val="00001A99"/>
    <w:rsid w:val="000028C9"/>
    <w:rsid w:val="00010805"/>
    <w:rsid w:val="00013DC6"/>
    <w:rsid w:val="00016176"/>
    <w:rsid w:val="00020C28"/>
    <w:rsid w:val="00022A68"/>
    <w:rsid w:val="0003077E"/>
    <w:rsid w:val="0003102F"/>
    <w:rsid w:val="00031C2B"/>
    <w:rsid w:val="00031E96"/>
    <w:rsid w:val="0003322C"/>
    <w:rsid w:val="00034B2B"/>
    <w:rsid w:val="00035A3B"/>
    <w:rsid w:val="0004579B"/>
    <w:rsid w:val="000517C6"/>
    <w:rsid w:val="0005640B"/>
    <w:rsid w:val="000576D7"/>
    <w:rsid w:val="00064D12"/>
    <w:rsid w:val="00070E2A"/>
    <w:rsid w:val="00080CBE"/>
    <w:rsid w:val="00082AF8"/>
    <w:rsid w:val="00086328"/>
    <w:rsid w:val="000865C0"/>
    <w:rsid w:val="00090D83"/>
    <w:rsid w:val="000934A6"/>
    <w:rsid w:val="00093F79"/>
    <w:rsid w:val="00094C51"/>
    <w:rsid w:val="000A4FC9"/>
    <w:rsid w:val="000A769C"/>
    <w:rsid w:val="000B5446"/>
    <w:rsid w:val="000B7B0E"/>
    <w:rsid w:val="000C148C"/>
    <w:rsid w:val="000C46CB"/>
    <w:rsid w:val="000D0E0B"/>
    <w:rsid w:val="000D219E"/>
    <w:rsid w:val="000D3EA5"/>
    <w:rsid w:val="000D4B02"/>
    <w:rsid w:val="000D7D46"/>
    <w:rsid w:val="000E0C60"/>
    <w:rsid w:val="000E16E1"/>
    <w:rsid w:val="000E19E5"/>
    <w:rsid w:val="000E1B73"/>
    <w:rsid w:val="000E1EB0"/>
    <w:rsid w:val="000E2006"/>
    <w:rsid w:val="000E3D69"/>
    <w:rsid w:val="000E42B5"/>
    <w:rsid w:val="000E54B8"/>
    <w:rsid w:val="000F3741"/>
    <w:rsid w:val="000F641B"/>
    <w:rsid w:val="00100039"/>
    <w:rsid w:val="00100208"/>
    <w:rsid w:val="00100C05"/>
    <w:rsid w:val="00100EEF"/>
    <w:rsid w:val="0010243F"/>
    <w:rsid w:val="001054AE"/>
    <w:rsid w:val="00106A56"/>
    <w:rsid w:val="001118D3"/>
    <w:rsid w:val="00120267"/>
    <w:rsid w:val="001236B9"/>
    <w:rsid w:val="00127563"/>
    <w:rsid w:val="0013260F"/>
    <w:rsid w:val="00137C11"/>
    <w:rsid w:val="0014004C"/>
    <w:rsid w:val="0014175C"/>
    <w:rsid w:val="001451A8"/>
    <w:rsid w:val="0014571C"/>
    <w:rsid w:val="00146D2F"/>
    <w:rsid w:val="001510B7"/>
    <w:rsid w:val="00153F29"/>
    <w:rsid w:val="001545B2"/>
    <w:rsid w:val="001573BE"/>
    <w:rsid w:val="001703FE"/>
    <w:rsid w:val="00173F8A"/>
    <w:rsid w:val="00175CE6"/>
    <w:rsid w:val="00176342"/>
    <w:rsid w:val="00176CA7"/>
    <w:rsid w:val="00182472"/>
    <w:rsid w:val="0018344E"/>
    <w:rsid w:val="001871BB"/>
    <w:rsid w:val="00190131"/>
    <w:rsid w:val="001A0F9F"/>
    <w:rsid w:val="001A3E91"/>
    <w:rsid w:val="001A4618"/>
    <w:rsid w:val="001B2DCA"/>
    <w:rsid w:val="001B6DAE"/>
    <w:rsid w:val="001C4068"/>
    <w:rsid w:val="001C41C7"/>
    <w:rsid w:val="001C4510"/>
    <w:rsid w:val="001C4A00"/>
    <w:rsid w:val="001C5EF5"/>
    <w:rsid w:val="001C6B53"/>
    <w:rsid w:val="001D35C4"/>
    <w:rsid w:val="001D3C62"/>
    <w:rsid w:val="001D4474"/>
    <w:rsid w:val="001E0F17"/>
    <w:rsid w:val="001E1136"/>
    <w:rsid w:val="001E4F82"/>
    <w:rsid w:val="001F2B01"/>
    <w:rsid w:val="001F3943"/>
    <w:rsid w:val="00200A85"/>
    <w:rsid w:val="00207EC1"/>
    <w:rsid w:val="002156F4"/>
    <w:rsid w:val="0021794B"/>
    <w:rsid w:val="00222A48"/>
    <w:rsid w:val="00225A73"/>
    <w:rsid w:val="00231984"/>
    <w:rsid w:val="002429D7"/>
    <w:rsid w:val="00243673"/>
    <w:rsid w:val="00244493"/>
    <w:rsid w:val="00244CEC"/>
    <w:rsid w:val="0024697B"/>
    <w:rsid w:val="00250F72"/>
    <w:rsid w:val="00252617"/>
    <w:rsid w:val="00257252"/>
    <w:rsid w:val="00264277"/>
    <w:rsid w:val="00273152"/>
    <w:rsid w:val="002743BC"/>
    <w:rsid w:val="002755D3"/>
    <w:rsid w:val="00275EDD"/>
    <w:rsid w:val="00277653"/>
    <w:rsid w:val="00283C6A"/>
    <w:rsid w:val="0028540E"/>
    <w:rsid w:val="00285EAC"/>
    <w:rsid w:val="00287BD6"/>
    <w:rsid w:val="00293828"/>
    <w:rsid w:val="00294CD9"/>
    <w:rsid w:val="002958D7"/>
    <w:rsid w:val="00296810"/>
    <w:rsid w:val="002A0459"/>
    <w:rsid w:val="002A5A9F"/>
    <w:rsid w:val="002A5EED"/>
    <w:rsid w:val="002A6384"/>
    <w:rsid w:val="002B5D9D"/>
    <w:rsid w:val="002C0289"/>
    <w:rsid w:val="002C73E5"/>
    <w:rsid w:val="002D1BCD"/>
    <w:rsid w:val="002D380C"/>
    <w:rsid w:val="002D420A"/>
    <w:rsid w:val="002E3745"/>
    <w:rsid w:val="002E3B10"/>
    <w:rsid w:val="002F7420"/>
    <w:rsid w:val="002F745C"/>
    <w:rsid w:val="002F783E"/>
    <w:rsid w:val="00302A5A"/>
    <w:rsid w:val="003032B3"/>
    <w:rsid w:val="003039F7"/>
    <w:rsid w:val="003048EF"/>
    <w:rsid w:val="0030730F"/>
    <w:rsid w:val="003101FB"/>
    <w:rsid w:val="00310C2B"/>
    <w:rsid w:val="003138B6"/>
    <w:rsid w:val="003142A5"/>
    <w:rsid w:val="00315756"/>
    <w:rsid w:val="00317831"/>
    <w:rsid w:val="00322248"/>
    <w:rsid w:val="003225E7"/>
    <w:rsid w:val="00324968"/>
    <w:rsid w:val="00325454"/>
    <w:rsid w:val="003311F4"/>
    <w:rsid w:val="00331997"/>
    <w:rsid w:val="00332FC4"/>
    <w:rsid w:val="0033632F"/>
    <w:rsid w:val="003401BD"/>
    <w:rsid w:val="00340AF7"/>
    <w:rsid w:val="00343365"/>
    <w:rsid w:val="00343934"/>
    <w:rsid w:val="00343CB5"/>
    <w:rsid w:val="0034596F"/>
    <w:rsid w:val="0035062F"/>
    <w:rsid w:val="00350738"/>
    <w:rsid w:val="00353964"/>
    <w:rsid w:val="00360526"/>
    <w:rsid w:val="003727A4"/>
    <w:rsid w:val="00374716"/>
    <w:rsid w:val="00376172"/>
    <w:rsid w:val="003841EE"/>
    <w:rsid w:val="00391F29"/>
    <w:rsid w:val="00393D08"/>
    <w:rsid w:val="00397A56"/>
    <w:rsid w:val="003A69F8"/>
    <w:rsid w:val="003B41A4"/>
    <w:rsid w:val="003B5002"/>
    <w:rsid w:val="003B5CCE"/>
    <w:rsid w:val="003B7CAC"/>
    <w:rsid w:val="003C092B"/>
    <w:rsid w:val="003C4DFC"/>
    <w:rsid w:val="003C59EC"/>
    <w:rsid w:val="003D0B2E"/>
    <w:rsid w:val="003D1CD4"/>
    <w:rsid w:val="003D209B"/>
    <w:rsid w:val="003D246F"/>
    <w:rsid w:val="003D4B83"/>
    <w:rsid w:val="003E0BC1"/>
    <w:rsid w:val="003E22E3"/>
    <w:rsid w:val="003E32A7"/>
    <w:rsid w:val="003E3E7A"/>
    <w:rsid w:val="003E4A5D"/>
    <w:rsid w:val="003F11FF"/>
    <w:rsid w:val="003F35E8"/>
    <w:rsid w:val="003F4F11"/>
    <w:rsid w:val="00403FF2"/>
    <w:rsid w:val="00404459"/>
    <w:rsid w:val="00405F48"/>
    <w:rsid w:val="004123D3"/>
    <w:rsid w:val="00421CCD"/>
    <w:rsid w:val="0042553F"/>
    <w:rsid w:val="0043089F"/>
    <w:rsid w:val="00432681"/>
    <w:rsid w:val="00432B65"/>
    <w:rsid w:val="00434651"/>
    <w:rsid w:val="004470D0"/>
    <w:rsid w:val="004524B9"/>
    <w:rsid w:val="00465EA4"/>
    <w:rsid w:val="004725A0"/>
    <w:rsid w:val="004739A3"/>
    <w:rsid w:val="00477CB9"/>
    <w:rsid w:val="00484980"/>
    <w:rsid w:val="004858F3"/>
    <w:rsid w:val="0049198B"/>
    <w:rsid w:val="004930D0"/>
    <w:rsid w:val="004945C2"/>
    <w:rsid w:val="004A0643"/>
    <w:rsid w:val="004A4C11"/>
    <w:rsid w:val="004A60EE"/>
    <w:rsid w:val="004B3F6A"/>
    <w:rsid w:val="004B65CD"/>
    <w:rsid w:val="004C3BE4"/>
    <w:rsid w:val="004C5B64"/>
    <w:rsid w:val="004C6273"/>
    <w:rsid w:val="004C6F2B"/>
    <w:rsid w:val="004C7977"/>
    <w:rsid w:val="004D33E6"/>
    <w:rsid w:val="004D3DC9"/>
    <w:rsid w:val="004D6EBB"/>
    <w:rsid w:val="004D6FFB"/>
    <w:rsid w:val="004D7324"/>
    <w:rsid w:val="004E1893"/>
    <w:rsid w:val="004E54F4"/>
    <w:rsid w:val="004E575C"/>
    <w:rsid w:val="004E57D1"/>
    <w:rsid w:val="004F0425"/>
    <w:rsid w:val="004F0691"/>
    <w:rsid w:val="004F728B"/>
    <w:rsid w:val="00505509"/>
    <w:rsid w:val="00513F0C"/>
    <w:rsid w:val="005228F4"/>
    <w:rsid w:val="005241A4"/>
    <w:rsid w:val="0053051F"/>
    <w:rsid w:val="0053182E"/>
    <w:rsid w:val="00532AE8"/>
    <w:rsid w:val="005347A5"/>
    <w:rsid w:val="00534977"/>
    <w:rsid w:val="00537CE0"/>
    <w:rsid w:val="00542927"/>
    <w:rsid w:val="00543C46"/>
    <w:rsid w:val="005455E6"/>
    <w:rsid w:val="00554744"/>
    <w:rsid w:val="005572C8"/>
    <w:rsid w:val="005576AD"/>
    <w:rsid w:val="0057035C"/>
    <w:rsid w:val="005748DA"/>
    <w:rsid w:val="00576561"/>
    <w:rsid w:val="005766F5"/>
    <w:rsid w:val="00576FF1"/>
    <w:rsid w:val="0058025A"/>
    <w:rsid w:val="00583A50"/>
    <w:rsid w:val="00584EFE"/>
    <w:rsid w:val="005A0062"/>
    <w:rsid w:val="005A6444"/>
    <w:rsid w:val="005B04B8"/>
    <w:rsid w:val="005B2A27"/>
    <w:rsid w:val="005B3A4A"/>
    <w:rsid w:val="005B42CC"/>
    <w:rsid w:val="005B432D"/>
    <w:rsid w:val="005C50D4"/>
    <w:rsid w:val="005C566A"/>
    <w:rsid w:val="005C76BA"/>
    <w:rsid w:val="005D065D"/>
    <w:rsid w:val="005D47C5"/>
    <w:rsid w:val="005D5E89"/>
    <w:rsid w:val="005E0DC1"/>
    <w:rsid w:val="005E7F14"/>
    <w:rsid w:val="005F0810"/>
    <w:rsid w:val="005F21FB"/>
    <w:rsid w:val="005F2ACB"/>
    <w:rsid w:val="005F2B88"/>
    <w:rsid w:val="00602C11"/>
    <w:rsid w:val="0060331F"/>
    <w:rsid w:val="0061239C"/>
    <w:rsid w:val="0061293C"/>
    <w:rsid w:val="00613C90"/>
    <w:rsid w:val="0062027E"/>
    <w:rsid w:val="006204EF"/>
    <w:rsid w:val="0062080E"/>
    <w:rsid w:val="00620C99"/>
    <w:rsid w:val="00622886"/>
    <w:rsid w:val="00622E4C"/>
    <w:rsid w:val="0062476E"/>
    <w:rsid w:val="00630CCC"/>
    <w:rsid w:val="00632857"/>
    <w:rsid w:val="00634323"/>
    <w:rsid w:val="006362FE"/>
    <w:rsid w:val="00644053"/>
    <w:rsid w:val="00651E78"/>
    <w:rsid w:val="00651EB7"/>
    <w:rsid w:val="006579BB"/>
    <w:rsid w:val="00657B19"/>
    <w:rsid w:val="006611F0"/>
    <w:rsid w:val="00666607"/>
    <w:rsid w:val="00671273"/>
    <w:rsid w:val="0067213E"/>
    <w:rsid w:val="006722F2"/>
    <w:rsid w:val="0067243F"/>
    <w:rsid w:val="006744EF"/>
    <w:rsid w:val="00675390"/>
    <w:rsid w:val="00675943"/>
    <w:rsid w:val="0067618A"/>
    <w:rsid w:val="00676772"/>
    <w:rsid w:val="006773DC"/>
    <w:rsid w:val="00695D1F"/>
    <w:rsid w:val="006A1470"/>
    <w:rsid w:val="006A515C"/>
    <w:rsid w:val="006C0E1F"/>
    <w:rsid w:val="006C43A7"/>
    <w:rsid w:val="006C5AB5"/>
    <w:rsid w:val="006C6AFF"/>
    <w:rsid w:val="006D27D8"/>
    <w:rsid w:val="006E28E9"/>
    <w:rsid w:val="006E4761"/>
    <w:rsid w:val="006F303A"/>
    <w:rsid w:val="006F5A35"/>
    <w:rsid w:val="006F5B56"/>
    <w:rsid w:val="00702551"/>
    <w:rsid w:val="00702A75"/>
    <w:rsid w:val="007034D7"/>
    <w:rsid w:val="00705C36"/>
    <w:rsid w:val="007164CF"/>
    <w:rsid w:val="007245C1"/>
    <w:rsid w:val="00725697"/>
    <w:rsid w:val="00727715"/>
    <w:rsid w:val="00730794"/>
    <w:rsid w:val="007320F8"/>
    <w:rsid w:val="00732807"/>
    <w:rsid w:val="007333C3"/>
    <w:rsid w:val="00733CBB"/>
    <w:rsid w:val="0074725A"/>
    <w:rsid w:val="00752EC7"/>
    <w:rsid w:val="00762302"/>
    <w:rsid w:val="0076365F"/>
    <w:rsid w:val="00763BAC"/>
    <w:rsid w:val="00773FAC"/>
    <w:rsid w:val="007748B1"/>
    <w:rsid w:val="00786B8F"/>
    <w:rsid w:val="00790B8C"/>
    <w:rsid w:val="00790D4F"/>
    <w:rsid w:val="0079140E"/>
    <w:rsid w:val="00795F70"/>
    <w:rsid w:val="00796742"/>
    <w:rsid w:val="00797F7C"/>
    <w:rsid w:val="007A486B"/>
    <w:rsid w:val="007A61C4"/>
    <w:rsid w:val="007A76D9"/>
    <w:rsid w:val="007B0D09"/>
    <w:rsid w:val="007B2B17"/>
    <w:rsid w:val="007B4552"/>
    <w:rsid w:val="007B54E7"/>
    <w:rsid w:val="007B5B2C"/>
    <w:rsid w:val="007B6E5B"/>
    <w:rsid w:val="007C7C9F"/>
    <w:rsid w:val="007C7F00"/>
    <w:rsid w:val="007D2CAD"/>
    <w:rsid w:val="007D3D04"/>
    <w:rsid w:val="007D4E7D"/>
    <w:rsid w:val="007D516B"/>
    <w:rsid w:val="007D6892"/>
    <w:rsid w:val="007E3009"/>
    <w:rsid w:val="007F578D"/>
    <w:rsid w:val="007F7EFD"/>
    <w:rsid w:val="0080237E"/>
    <w:rsid w:val="00803B40"/>
    <w:rsid w:val="00803DEE"/>
    <w:rsid w:val="0080469A"/>
    <w:rsid w:val="008110B9"/>
    <w:rsid w:val="008211B9"/>
    <w:rsid w:val="008218E0"/>
    <w:rsid w:val="008262E3"/>
    <w:rsid w:val="0082636D"/>
    <w:rsid w:val="008308E6"/>
    <w:rsid w:val="00832C2B"/>
    <w:rsid w:val="0083549B"/>
    <w:rsid w:val="00835D95"/>
    <w:rsid w:val="008528E8"/>
    <w:rsid w:val="008538E3"/>
    <w:rsid w:val="00860FC8"/>
    <w:rsid w:val="0086191C"/>
    <w:rsid w:val="00871354"/>
    <w:rsid w:val="008736A4"/>
    <w:rsid w:val="008746E5"/>
    <w:rsid w:val="00874726"/>
    <w:rsid w:val="00881C5B"/>
    <w:rsid w:val="00885127"/>
    <w:rsid w:val="0088519C"/>
    <w:rsid w:val="00887873"/>
    <w:rsid w:val="008878B9"/>
    <w:rsid w:val="00893887"/>
    <w:rsid w:val="008944D2"/>
    <w:rsid w:val="00895FE0"/>
    <w:rsid w:val="008A462D"/>
    <w:rsid w:val="008A59D9"/>
    <w:rsid w:val="008B098D"/>
    <w:rsid w:val="008B0DD7"/>
    <w:rsid w:val="008B10D7"/>
    <w:rsid w:val="008B26E0"/>
    <w:rsid w:val="008B43F9"/>
    <w:rsid w:val="008B6BED"/>
    <w:rsid w:val="008C504B"/>
    <w:rsid w:val="008C548F"/>
    <w:rsid w:val="008D2BDA"/>
    <w:rsid w:val="008D2C34"/>
    <w:rsid w:val="008D63A5"/>
    <w:rsid w:val="008E3ED7"/>
    <w:rsid w:val="008E5B34"/>
    <w:rsid w:val="008F0F45"/>
    <w:rsid w:val="008F0FC6"/>
    <w:rsid w:val="008F7794"/>
    <w:rsid w:val="00900369"/>
    <w:rsid w:val="00901219"/>
    <w:rsid w:val="00913077"/>
    <w:rsid w:val="009155CA"/>
    <w:rsid w:val="00915B5B"/>
    <w:rsid w:val="00920742"/>
    <w:rsid w:val="00930C45"/>
    <w:rsid w:val="00933E00"/>
    <w:rsid w:val="00935B28"/>
    <w:rsid w:val="009474C3"/>
    <w:rsid w:val="0095008F"/>
    <w:rsid w:val="009511E6"/>
    <w:rsid w:val="009515F6"/>
    <w:rsid w:val="00952BC4"/>
    <w:rsid w:val="00952C18"/>
    <w:rsid w:val="00954ECB"/>
    <w:rsid w:val="009563B6"/>
    <w:rsid w:val="009643AD"/>
    <w:rsid w:val="00964E21"/>
    <w:rsid w:val="00964F01"/>
    <w:rsid w:val="0096613B"/>
    <w:rsid w:val="00972831"/>
    <w:rsid w:val="00973EB7"/>
    <w:rsid w:val="00976ED7"/>
    <w:rsid w:val="00980633"/>
    <w:rsid w:val="00985705"/>
    <w:rsid w:val="00985B79"/>
    <w:rsid w:val="00993070"/>
    <w:rsid w:val="009935BC"/>
    <w:rsid w:val="00993757"/>
    <w:rsid w:val="009A0126"/>
    <w:rsid w:val="009A1C94"/>
    <w:rsid w:val="009A2B51"/>
    <w:rsid w:val="009B59BE"/>
    <w:rsid w:val="009C28F4"/>
    <w:rsid w:val="009C49AC"/>
    <w:rsid w:val="009D1F1B"/>
    <w:rsid w:val="009D30D8"/>
    <w:rsid w:val="009D5C10"/>
    <w:rsid w:val="009D61BC"/>
    <w:rsid w:val="009E21FF"/>
    <w:rsid w:val="009E2D7D"/>
    <w:rsid w:val="009F2F38"/>
    <w:rsid w:val="009F4001"/>
    <w:rsid w:val="00A013C7"/>
    <w:rsid w:val="00A042FA"/>
    <w:rsid w:val="00A05F7A"/>
    <w:rsid w:val="00A114FF"/>
    <w:rsid w:val="00A15448"/>
    <w:rsid w:val="00A16D59"/>
    <w:rsid w:val="00A17505"/>
    <w:rsid w:val="00A21619"/>
    <w:rsid w:val="00A21C9E"/>
    <w:rsid w:val="00A2248F"/>
    <w:rsid w:val="00A24736"/>
    <w:rsid w:val="00A30BAE"/>
    <w:rsid w:val="00A333CF"/>
    <w:rsid w:val="00A37D02"/>
    <w:rsid w:val="00A412FE"/>
    <w:rsid w:val="00A4233A"/>
    <w:rsid w:val="00A4445B"/>
    <w:rsid w:val="00A47AB2"/>
    <w:rsid w:val="00A5256B"/>
    <w:rsid w:val="00A5432A"/>
    <w:rsid w:val="00A650E2"/>
    <w:rsid w:val="00A714E0"/>
    <w:rsid w:val="00A74050"/>
    <w:rsid w:val="00A82AB1"/>
    <w:rsid w:val="00A86F16"/>
    <w:rsid w:val="00A91B82"/>
    <w:rsid w:val="00A92CB4"/>
    <w:rsid w:val="00AA197C"/>
    <w:rsid w:val="00AA1A45"/>
    <w:rsid w:val="00AB277F"/>
    <w:rsid w:val="00AB2C79"/>
    <w:rsid w:val="00AB3DE5"/>
    <w:rsid w:val="00AB4ED7"/>
    <w:rsid w:val="00AC06B8"/>
    <w:rsid w:val="00AC3386"/>
    <w:rsid w:val="00AD017A"/>
    <w:rsid w:val="00AD05E1"/>
    <w:rsid w:val="00AD0798"/>
    <w:rsid w:val="00AD54CD"/>
    <w:rsid w:val="00AE213C"/>
    <w:rsid w:val="00AE3271"/>
    <w:rsid w:val="00AF274F"/>
    <w:rsid w:val="00AF5B5A"/>
    <w:rsid w:val="00AF5D7F"/>
    <w:rsid w:val="00AF7D8A"/>
    <w:rsid w:val="00B01C24"/>
    <w:rsid w:val="00B04CE1"/>
    <w:rsid w:val="00B0699B"/>
    <w:rsid w:val="00B123CC"/>
    <w:rsid w:val="00B123E5"/>
    <w:rsid w:val="00B124CA"/>
    <w:rsid w:val="00B14BE3"/>
    <w:rsid w:val="00B1514F"/>
    <w:rsid w:val="00B16F17"/>
    <w:rsid w:val="00B20291"/>
    <w:rsid w:val="00B20EB7"/>
    <w:rsid w:val="00B24F9D"/>
    <w:rsid w:val="00B26D8E"/>
    <w:rsid w:val="00B30877"/>
    <w:rsid w:val="00B31348"/>
    <w:rsid w:val="00B3335A"/>
    <w:rsid w:val="00B34885"/>
    <w:rsid w:val="00B50EA1"/>
    <w:rsid w:val="00B5295C"/>
    <w:rsid w:val="00B557A0"/>
    <w:rsid w:val="00B56A4A"/>
    <w:rsid w:val="00B61471"/>
    <w:rsid w:val="00B61EFF"/>
    <w:rsid w:val="00B64C55"/>
    <w:rsid w:val="00B64EE3"/>
    <w:rsid w:val="00B65068"/>
    <w:rsid w:val="00B659E6"/>
    <w:rsid w:val="00B7147B"/>
    <w:rsid w:val="00B721BB"/>
    <w:rsid w:val="00B72638"/>
    <w:rsid w:val="00B72ABA"/>
    <w:rsid w:val="00B7761D"/>
    <w:rsid w:val="00B77777"/>
    <w:rsid w:val="00B80C7A"/>
    <w:rsid w:val="00B81CC1"/>
    <w:rsid w:val="00B81E45"/>
    <w:rsid w:val="00B83AAF"/>
    <w:rsid w:val="00B90754"/>
    <w:rsid w:val="00B91493"/>
    <w:rsid w:val="00B936AB"/>
    <w:rsid w:val="00B961DA"/>
    <w:rsid w:val="00BA04EB"/>
    <w:rsid w:val="00BA5F02"/>
    <w:rsid w:val="00BA7E82"/>
    <w:rsid w:val="00BB03E2"/>
    <w:rsid w:val="00BB090D"/>
    <w:rsid w:val="00BC0657"/>
    <w:rsid w:val="00BC67A2"/>
    <w:rsid w:val="00BC6811"/>
    <w:rsid w:val="00BD1337"/>
    <w:rsid w:val="00BD3AEE"/>
    <w:rsid w:val="00BD5263"/>
    <w:rsid w:val="00BD56B0"/>
    <w:rsid w:val="00BD6720"/>
    <w:rsid w:val="00BD7696"/>
    <w:rsid w:val="00BE0219"/>
    <w:rsid w:val="00BE6B13"/>
    <w:rsid w:val="00BF1159"/>
    <w:rsid w:val="00BF13B2"/>
    <w:rsid w:val="00C00F94"/>
    <w:rsid w:val="00C02FEE"/>
    <w:rsid w:val="00C10FBC"/>
    <w:rsid w:val="00C122F8"/>
    <w:rsid w:val="00C21664"/>
    <w:rsid w:val="00C2322F"/>
    <w:rsid w:val="00C2465B"/>
    <w:rsid w:val="00C2690B"/>
    <w:rsid w:val="00C30512"/>
    <w:rsid w:val="00C317BE"/>
    <w:rsid w:val="00C33290"/>
    <w:rsid w:val="00C33EFA"/>
    <w:rsid w:val="00C34B24"/>
    <w:rsid w:val="00C34B43"/>
    <w:rsid w:val="00C36AF5"/>
    <w:rsid w:val="00C437A3"/>
    <w:rsid w:val="00C441A4"/>
    <w:rsid w:val="00C45305"/>
    <w:rsid w:val="00C459FF"/>
    <w:rsid w:val="00C51104"/>
    <w:rsid w:val="00C51DFA"/>
    <w:rsid w:val="00C5259E"/>
    <w:rsid w:val="00C532B6"/>
    <w:rsid w:val="00C60AC4"/>
    <w:rsid w:val="00C636AE"/>
    <w:rsid w:val="00C66840"/>
    <w:rsid w:val="00C70CAA"/>
    <w:rsid w:val="00C739FD"/>
    <w:rsid w:val="00C73DCD"/>
    <w:rsid w:val="00C778C5"/>
    <w:rsid w:val="00C808FE"/>
    <w:rsid w:val="00C82C27"/>
    <w:rsid w:val="00C85171"/>
    <w:rsid w:val="00C85719"/>
    <w:rsid w:val="00C85B98"/>
    <w:rsid w:val="00C9021D"/>
    <w:rsid w:val="00C95415"/>
    <w:rsid w:val="00C96932"/>
    <w:rsid w:val="00C9789E"/>
    <w:rsid w:val="00CA39D3"/>
    <w:rsid w:val="00CA4440"/>
    <w:rsid w:val="00CA4F7D"/>
    <w:rsid w:val="00CA6E59"/>
    <w:rsid w:val="00CB0D1C"/>
    <w:rsid w:val="00CB3A5F"/>
    <w:rsid w:val="00CC11E6"/>
    <w:rsid w:val="00CC1B15"/>
    <w:rsid w:val="00CC3187"/>
    <w:rsid w:val="00CC778E"/>
    <w:rsid w:val="00CD19BB"/>
    <w:rsid w:val="00CE03F0"/>
    <w:rsid w:val="00CE1F50"/>
    <w:rsid w:val="00CE35A1"/>
    <w:rsid w:val="00CF1F94"/>
    <w:rsid w:val="00CF3025"/>
    <w:rsid w:val="00CF5E2F"/>
    <w:rsid w:val="00D04FB3"/>
    <w:rsid w:val="00D0642C"/>
    <w:rsid w:val="00D06F76"/>
    <w:rsid w:val="00D0761C"/>
    <w:rsid w:val="00D12181"/>
    <w:rsid w:val="00D153BF"/>
    <w:rsid w:val="00D222DF"/>
    <w:rsid w:val="00D2498A"/>
    <w:rsid w:val="00D25633"/>
    <w:rsid w:val="00D25ADC"/>
    <w:rsid w:val="00D27727"/>
    <w:rsid w:val="00D3524D"/>
    <w:rsid w:val="00D40003"/>
    <w:rsid w:val="00D4248D"/>
    <w:rsid w:val="00D432B0"/>
    <w:rsid w:val="00D46CFE"/>
    <w:rsid w:val="00D53AC6"/>
    <w:rsid w:val="00D55A2B"/>
    <w:rsid w:val="00D56D10"/>
    <w:rsid w:val="00D712BC"/>
    <w:rsid w:val="00D720C5"/>
    <w:rsid w:val="00D75D38"/>
    <w:rsid w:val="00D7693A"/>
    <w:rsid w:val="00D7721A"/>
    <w:rsid w:val="00D858A9"/>
    <w:rsid w:val="00D91336"/>
    <w:rsid w:val="00D93721"/>
    <w:rsid w:val="00D942F5"/>
    <w:rsid w:val="00DA030E"/>
    <w:rsid w:val="00DA1F6C"/>
    <w:rsid w:val="00DA2F49"/>
    <w:rsid w:val="00DA42FA"/>
    <w:rsid w:val="00DA5777"/>
    <w:rsid w:val="00DB1D21"/>
    <w:rsid w:val="00DB72E4"/>
    <w:rsid w:val="00DC1EFA"/>
    <w:rsid w:val="00DC3D29"/>
    <w:rsid w:val="00DC4CF9"/>
    <w:rsid w:val="00DC661E"/>
    <w:rsid w:val="00DD1705"/>
    <w:rsid w:val="00DD5E45"/>
    <w:rsid w:val="00DE05EE"/>
    <w:rsid w:val="00DE11A6"/>
    <w:rsid w:val="00DE553B"/>
    <w:rsid w:val="00DE787A"/>
    <w:rsid w:val="00E01120"/>
    <w:rsid w:val="00E01F65"/>
    <w:rsid w:val="00E14790"/>
    <w:rsid w:val="00E1690E"/>
    <w:rsid w:val="00E1794A"/>
    <w:rsid w:val="00E21396"/>
    <w:rsid w:val="00E22893"/>
    <w:rsid w:val="00E22A50"/>
    <w:rsid w:val="00E230A9"/>
    <w:rsid w:val="00E23F74"/>
    <w:rsid w:val="00E25C4D"/>
    <w:rsid w:val="00E30B51"/>
    <w:rsid w:val="00E324ED"/>
    <w:rsid w:val="00E43679"/>
    <w:rsid w:val="00E5138B"/>
    <w:rsid w:val="00E54289"/>
    <w:rsid w:val="00E5562E"/>
    <w:rsid w:val="00E6050F"/>
    <w:rsid w:val="00E64550"/>
    <w:rsid w:val="00E64C03"/>
    <w:rsid w:val="00E703DD"/>
    <w:rsid w:val="00E71A97"/>
    <w:rsid w:val="00E7489B"/>
    <w:rsid w:val="00E8242D"/>
    <w:rsid w:val="00E846AB"/>
    <w:rsid w:val="00E87F99"/>
    <w:rsid w:val="00E920DC"/>
    <w:rsid w:val="00E9467B"/>
    <w:rsid w:val="00E94B67"/>
    <w:rsid w:val="00EA4E61"/>
    <w:rsid w:val="00EA76F6"/>
    <w:rsid w:val="00EB7F95"/>
    <w:rsid w:val="00EC3901"/>
    <w:rsid w:val="00EC3E80"/>
    <w:rsid w:val="00EC5468"/>
    <w:rsid w:val="00ED3DCF"/>
    <w:rsid w:val="00ED525F"/>
    <w:rsid w:val="00EE64FE"/>
    <w:rsid w:val="00EE65DD"/>
    <w:rsid w:val="00EF2443"/>
    <w:rsid w:val="00EF577B"/>
    <w:rsid w:val="00EF6269"/>
    <w:rsid w:val="00EF7AB5"/>
    <w:rsid w:val="00EF7DCE"/>
    <w:rsid w:val="00EF7E79"/>
    <w:rsid w:val="00F04CA0"/>
    <w:rsid w:val="00F22FA5"/>
    <w:rsid w:val="00F24785"/>
    <w:rsid w:val="00F316E3"/>
    <w:rsid w:val="00F43C2D"/>
    <w:rsid w:val="00F46BEC"/>
    <w:rsid w:val="00F617DA"/>
    <w:rsid w:val="00F61D24"/>
    <w:rsid w:val="00F661F5"/>
    <w:rsid w:val="00F777E6"/>
    <w:rsid w:val="00F803F1"/>
    <w:rsid w:val="00F82465"/>
    <w:rsid w:val="00F8442A"/>
    <w:rsid w:val="00F9217B"/>
    <w:rsid w:val="00F93FC4"/>
    <w:rsid w:val="00F94C85"/>
    <w:rsid w:val="00FA0C29"/>
    <w:rsid w:val="00FA36F6"/>
    <w:rsid w:val="00FA591C"/>
    <w:rsid w:val="00FB178B"/>
    <w:rsid w:val="00FB1B25"/>
    <w:rsid w:val="00FB273F"/>
    <w:rsid w:val="00FB42BA"/>
    <w:rsid w:val="00FC0167"/>
    <w:rsid w:val="00FD0611"/>
    <w:rsid w:val="00FD2027"/>
    <w:rsid w:val="00FD22B5"/>
    <w:rsid w:val="00FE0159"/>
    <w:rsid w:val="00FF039E"/>
    <w:rsid w:val="00FF1003"/>
    <w:rsid w:val="00FF607E"/>
    <w:rsid w:val="00FF63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4CF333C"/>
  <w15:chartTrackingRefBased/>
  <w15:docId w15:val="{14DB17CA-0520-4EB0-A8FF-41F2E816D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810"/>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796742"/>
    <w:pPr>
      <w:keepNext/>
      <w:spacing w:before="240" w:after="60"/>
      <w:outlineLvl w:val="1"/>
    </w:pPr>
    <w:rPr>
      <w:rFonts w:ascii="Calibri Light" w:eastAsia="Times New Roman"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63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632F"/>
  </w:style>
  <w:style w:type="paragraph" w:styleId="Footer">
    <w:name w:val="footer"/>
    <w:basedOn w:val="Normal"/>
    <w:link w:val="FooterChar"/>
    <w:uiPriority w:val="99"/>
    <w:unhideWhenUsed/>
    <w:rsid w:val="003363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632F"/>
  </w:style>
  <w:style w:type="paragraph" w:styleId="BalloonText">
    <w:name w:val="Balloon Text"/>
    <w:basedOn w:val="Normal"/>
    <w:link w:val="BalloonTextChar"/>
    <w:uiPriority w:val="99"/>
    <w:semiHidden/>
    <w:unhideWhenUsed/>
    <w:rsid w:val="0033632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3632F"/>
    <w:rPr>
      <w:rFonts w:ascii="Tahoma" w:hAnsi="Tahoma" w:cs="Tahoma"/>
      <w:sz w:val="16"/>
      <w:szCs w:val="16"/>
    </w:rPr>
  </w:style>
  <w:style w:type="character" w:styleId="Hyperlink">
    <w:name w:val="Hyperlink"/>
    <w:uiPriority w:val="99"/>
    <w:unhideWhenUsed/>
    <w:rsid w:val="00993070"/>
    <w:rPr>
      <w:color w:val="0000FF"/>
      <w:u w:val="single"/>
    </w:rPr>
  </w:style>
  <w:style w:type="paragraph" w:styleId="ListParagraph">
    <w:name w:val="List Paragraph"/>
    <w:basedOn w:val="Normal"/>
    <w:uiPriority w:val="34"/>
    <w:qFormat/>
    <w:rsid w:val="00993070"/>
    <w:pPr>
      <w:ind w:left="720"/>
      <w:contextualSpacing/>
    </w:pPr>
  </w:style>
  <w:style w:type="character" w:styleId="FollowedHyperlink">
    <w:name w:val="FollowedHyperlink"/>
    <w:uiPriority w:val="99"/>
    <w:semiHidden/>
    <w:unhideWhenUsed/>
    <w:rsid w:val="003138B6"/>
    <w:rPr>
      <w:color w:val="800080"/>
      <w:u w:val="single"/>
    </w:rPr>
  </w:style>
  <w:style w:type="character" w:styleId="CommentReference">
    <w:name w:val="annotation reference"/>
    <w:uiPriority w:val="99"/>
    <w:semiHidden/>
    <w:unhideWhenUsed/>
    <w:rsid w:val="004E57D1"/>
    <w:rPr>
      <w:sz w:val="18"/>
      <w:szCs w:val="18"/>
    </w:rPr>
  </w:style>
  <w:style w:type="paragraph" w:styleId="CommentText">
    <w:name w:val="annotation text"/>
    <w:basedOn w:val="Normal"/>
    <w:link w:val="CommentTextChar"/>
    <w:uiPriority w:val="99"/>
    <w:semiHidden/>
    <w:unhideWhenUsed/>
    <w:rsid w:val="004E57D1"/>
    <w:pPr>
      <w:spacing w:line="240" w:lineRule="auto"/>
    </w:pPr>
    <w:rPr>
      <w:sz w:val="24"/>
      <w:szCs w:val="24"/>
    </w:rPr>
  </w:style>
  <w:style w:type="character" w:customStyle="1" w:styleId="CommentTextChar">
    <w:name w:val="Comment Text Char"/>
    <w:link w:val="CommentText"/>
    <w:uiPriority w:val="99"/>
    <w:semiHidden/>
    <w:rsid w:val="004E57D1"/>
    <w:rPr>
      <w:sz w:val="24"/>
      <w:szCs w:val="24"/>
    </w:rPr>
  </w:style>
  <w:style w:type="paragraph" w:styleId="CommentSubject">
    <w:name w:val="annotation subject"/>
    <w:basedOn w:val="CommentText"/>
    <w:next w:val="CommentText"/>
    <w:link w:val="CommentSubjectChar"/>
    <w:uiPriority w:val="99"/>
    <w:semiHidden/>
    <w:unhideWhenUsed/>
    <w:rsid w:val="004E57D1"/>
    <w:rPr>
      <w:b/>
      <w:bCs/>
      <w:sz w:val="20"/>
      <w:szCs w:val="20"/>
    </w:rPr>
  </w:style>
  <w:style w:type="character" w:customStyle="1" w:styleId="CommentSubjectChar">
    <w:name w:val="Comment Subject Char"/>
    <w:link w:val="CommentSubject"/>
    <w:uiPriority w:val="99"/>
    <w:semiHidden/>
    <w:rsid w:val="004E57D1"/>
    <w:rPr>
      <w:b/>
      <w:bCs/>
      <w:sz w:val="20"/>
      <w:szCs w:val="20"/>
    </w:rPr>
  </w:style>
  <w:style w:type="table" w:styleId="TableGrid">
    <w:name w:val="Table Grid"/>
    <w:basedOn w:val="TableNormal"/>
    <w:uiPriority w:val="59"/>
    <w:rsid w:val="00A444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9"/>
    <w:rsid w:val="00796742"/>
    <w:rPr>
      <w:rFonts w:ascii="Calibri Light" w:eastAsia="Times New Roman" w:hAnsi="Calibri Light" w:cs="Times New Roman"/>
      <w:b/>
      <w:bCs/>
      <w:i/>
      <w:iCs/>
      <w:sz w:val="28"/>
      <w:szCs w:val="28"/>
      <w:lang w:eastAsia="en-US"/>
    </w:rPr>
  </w:style>
  <w:style w:type="paragraph" w:styleId="NoSpacing">
    <w:name w:val="No Spacing"/>
    <w:uiPriority w:val="1"/>
    <w:qFormat/>
    <w:rsid w:val="005576AD"/>
    <w:rPr>
      <w:sz w:val="22"/>
      <w:szCs w:val="22"/>
      <w:lang w:eastAsia="en-US"/>
    </w:rPr>
  </w:style>
  <w:style w:type="paragraph" w:styleId="Caption">
    <w:name w:val="caption"/>
    <w:basedOn w:val="Normal"/>
    <w:next w:val="Normal"/>
    <w:uiPriority w:val="35"/>
    <w:unhideWhenUsed/>
    <w:qFormat/>
    <w:rsid w:val="00985B79"/>
    <w:rPr>
      <w:b/>
      <w:bCs/>
      <w:sz w:val="20"/>
      <w:szCs w:val="20"/>
    </w:rPr>
  </w:style>
  <w:style w:type="paragraph" w:customStyle="1" w:styleId="xxmsonormal">
    <w:name w:val="x_x_msonormal"/>
    <w:basedOn w:val="Normal"/>
    <w:rsid w:val="001C6B53"/>
    <w:pPr>
      <w:spacing w:before="100" w:beforeAutospacing="1" w:after="100" w:afterAutospacing="1" w:line="240" w:lineRule="auto"/>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400063">
      <w:bodyDiv w:val="1"/>
      <w:marLeft w:val="0"/>
      <w:marRight w:val="0"/>
      <w:marTop w:val="0"/>
      <w:marBottom w:val="0"/>
      <w:divBdr>
        <w:top w:val="none" w:sz="0" w:space="0" w:color="auto"/>
        <w:left w:val="none" w:sz="0" w:space="0" w:color="auto"/>
        <w:bottom w:val="none" w:sz="0" w:space="0" w:color="auto"/>
        <w:right w:val="none" w:sz="0" w:space="0" w:color="auto"/>
      </w:divBdr>
    </w:div>
    <w:div w:id="269825219">
      <w:bodyDiv w:val="1"/>
      <w:marLeft w:val="0"/>
      <w:marRight w:val="0"/>
      <w:marTop w:val="0"/>
      <w:marBottom w:val="0"/>
      <w:divBdr>
        <w:top w:val="none" w:sz="0" w:space="0" w:color="auto"/>
        <w:left w:val="none" w:sz="0" w:space="0" w:color="auto"/>
        <w:bottom w:val="none" w:sz="0" w:space="0" w:color="auto"/>
        <w:right w:val="none" w:sz="0" w:space="0" w:color="auto"/>
      </w:divBdr>
    </w:div>
    <w:div w:id="1825008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ongtermplan.nhs.uk/wp-content/uploads/2019/08/nhs-long-term-plan-version-1.2.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ResponsiblePerson xmlns="55f99f0f-87d8-4be9-9440-df45adb4b6c5">Not Noted</ResponsiblePerson>
    <DocumentOwner_x002f_Creator xmlns="55f99f0f-87d8-4be9-9440-df45adb4b6c5">
      <UserInfo>
        <DisplayName/>
        <AccountId xsi:nil="true"/>
        <AccountType/>
      </UserInfo>
    </DocumentOwner_x002f_Creator>
    <lcf76f155ced4ddcb4097134ff3c332f xmlns="55f99f0f-87d8-4be9-9440-df45adb4b6c5">
      <Terms xmlns="http://schemas.microsoft.com/office/infopath/2007/PartnerControls"/>
    </lcf76f155ced4ddcb4097134ff3c332f>
    <TaxCatchAll xmlns="eb556f03-1ab5-485a-9aea-0ebfad31cc2d" xsi:nil="true"/>
    <_Flow_SignoffStatus xmlns="55f99f0f-87d8-4be9-9440-df45adb4b6c5" xsi:nil="true"/>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1373531D4220B4B8DC89F1AB9AB0F90" ma:contentTypeVersion="22" ma:contentTypeDescription="Create a new document." ma:contentTypeScope="" ma:versionID="479f668a70516ae21027862fcf6360b7">
  <xsd:schema xmlns:xsd="http://www.w3.org/2001/XMLSchema" xmlns:xs="http://www.w3.org/2001/XMLSchema" xmlns:p="http://schemas.microsoft.com/office/2006/metadata/properties" xmlns:ns2="55f99f0f-87d8-4be9-9440-df45adb4b6c5" xmlns:ns3="eb556f03-1ab5-485a-9aea-0ebfad31cc2d" targetNamespace="http://schemas.microsoft.com/office/2006/metadata/properties" ma:root="true" ma:fieldsID="b1d769db5b4fb45b25d703c3fc871aec" ns2:_="" ns3:_="">
    <xsd:import namespace="55f99f0f-87d8-4be9-9440-df45adb4b6c5"/>
    <xsd:import namespace="eb556f03-1ab5-485a-9aea-0ebfad31cc2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MediaServiceGenerationTime" minOccurs="0"/>
                <xsd:element ref="ns2:MediaServiceEventHashCode" minOccurs="0"/>
                <xsd:element ref="ns2:lcf76f155ced4ddcb4097134ff3c332f" minOccurs="0"/>
                <xsd:element ref="ns3:TaxCatchAll" minOccurs="0"/>
                <xsd:element ref="ns2:MediaServiceLocation" minOccurs="0"/>
                <xsd:element ref="ns2:MediaServiceOCR" minOccurs="0"/>
                <xsd:element ref="ns2:MediaServiceSearchProperties" minOccurs="0"/>
                <xsd:element ref="ns2:DocumentOwner_x002f_Creator" minOccurs="0"/>
                <xsd:element ref="ns2:ResponsiblePerson"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f99f0f-87d8-4be9-9440-df45adb4b6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906682b-9559-4106-93ae-b8242d33929b"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DocumentOwner_x002f_Creator" ma:index="23" nillable="true" ma:displayName="Document Owner/ Creator" ma:description="Person responsible for the documents creation and/ or updates " ma:format="Dropdown" ma:list="UserInfo" ma:SharePointGroup="0" ma:internalName="DocumentOwner_x002f_Creator">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sponsiblePerson" ma:index="24" nillable="true" ma:displayName="Responsible Person" ma:default="Not Noted" ma:format="Dropdown" ma:internalName="ResponsiblePerson">
      <xsd:simpleType>
        <xsd:restriction base="dms:Text">
          <xsd:maxLength value="255"/>
        </xsd:restriction>
      </xsd:simpleType>
    </xsd:element>
    <xsd:element name="_Flow_SignoffStatus" ma:index="25" nillable="true" ma:displayName="Sign-off status" ma:internalName="_x0024_Resources_x003a_core_x002c_Signoff_Status">
      <xsd:simpleType>
        <xsd:restriction base="dms:Text"/>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556f03-1ab5-485a-9aea-0ebfad31cc2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a2d7fde-55e5-4372-af2a-23590a38db2a}" ma:internalName="TaxCatchAll" ma:showField="CatchAllData" ma:web="eb556f03-1ab5-485a-9aea-0ebfad31cc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A1A5FF-533C-4C6A-9F14-C09BB3A066E3}">
  <ds:schemaRefs>
    <ds:schemaRef ds:uri="http://schemas.microsoft.com/office/2006/metadata/properties"/>
    <ds:schemaRef ds:uri="http://schemas.microsoft.com/office/infopath/2007/PartnerControls"/>
    <ds:schemaRef ds:uri="55f99f0f-87d8-4be9-9440-df45adb4b6c5"/>
    <ds:schemaRef ds:uri="eb556f03-1ab5-485a-9aea-0ebfad31cc2d"/>
  </ds:schemaRefs>
</ds:datastoreItem>
</file>

<file path=customXml/itemProps2.xml><?xml version="1.0" encoding="utf-8"?>
<ds:datastoreItem xmlns:ds="http://schemas.openxmlformats.org/officeDocument/2006/customXml" ds:itemID="{83E20C5E-5F69-4513-BA81-BD97B7C8CE26}">
  <ds:schemaRefs>
    <ds:schemaRef ds:uri="http://schemas.openxmlformats.org/officeDocument/2006/bibliography"/>
  </ds:schemaRefs>
</ds:datastoreItem>
</file>

<file path=customXml/itemProps3.xml><?xml version="1.0" encoding="utf-8"?>
<ds:datastoreItem xmlns:ds="http://schemas.openxmlformats.org/officeDocument/2006/customXml" ds:itemID="{BB70CD51-664D-4E4D-97EB-AB45FBC5ADC3}">
  <ds:schemaRefs>
    <ds:schemaRef ds:uri="http://schemas.microsoft.com/sharepoint/v3/contenttype/forms"/>
  </ds:schemaRefs>
</ds:datastoreItem>
</file>

<file path=customXml/itemProps4.xml><?xml version="1.0" encoding="utf-8"?>
<ds:datastoreItem xmlns:ds="http://schemas.openxmlformats.org/officeDocument/2006/customXml" ds:itemID="{8E7F0BCD-BEAE-4F24-8F66-C11700B976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f99f0f-87d8-4be9-9440-df45adb4b6c5"/>
    <ds:schemaRef ds:uri="eb556f03-1ab5-485a-9aea-0ebfad31cc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975</Words>
  <Characters>5039</Characters>
  <Application>Microsoft Office Word</Application>
  <DocSecurity>0</DocSecurity>
  <Lines>97</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Benchmark1</dc:creator>
  <cp:keywords/>
  <cp:lastModifiedBy>Renee Thaxter</cp:lastModifiedBy>
  <cp:revision>5</cp:revision>
  <cp:lastPrinted>2016-10-10T13:49:00Z</cp:lastPrinted>
  <dcterms:created xsi:type="dcterms:W3CDTF">2024-10-14T13:07:00Z</dcterms:created>
  <dcterms:modified xsi:type="dcterms:W3CDTF">2026-03-09T11:31:00Z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0x010100D1373531D4220B4B8DC89F1AB9AB0F90</vt:lpwstr>
  </property>
  <property fmtid="{D5CDD505-2E9C-101B-9397-08002B2CF9AE}" pid="4" name="docLang">
    <vt:lpwstr>en</vt:lpwstr>
  </property>
</Properties>
</file>